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pPr>
      <w:r>
        <w:t xml:space="preserve"/>
      </w:r>
    </w:p>
    <w:p>
      <w:pPr>
        <w:spacing w:after="160"/>
        <w:jc w:val="center"/>
      </w:pPr>
      <w:r>
        <w:rPr>
          <w:rFonts w:ascii="Arial" w:cs="Arial" w:eastAsia="Arial" w:hAnsi="Arial"/>
          <w:b/>
          <w:bCs/>
          <w:color w:val="0D7377"/>
          <w:spacing w:val="100"/>
          <w:sz w:val="22"/>
          <w:szCs w:val="22"/>
        </w:rPr>
        <w:t xml:space="preserve">ASHOK LEYLAND  ·  IIT MADRAS</w:t>
      </w:r>
    </w:p>
    <w:p>
      <w:pPr>
        <w:spacing w:after="900"/>
        <w:jc w:val="center"/>
      </w:pPr>
      <w:r>
        <w:rPr>
          <w:rFonts w:ascii="Arial" w:cs="Arial" w:eastAsia="Arial" w:hAnsi="Arial"/>
          <w:color w:val="5E7A8A"/>
          <w:spacing w:val="60"/>
          <w:sz w:val="18"/>
          <w:szCs w:val="18"/>
        </w:rPr>
        <w:t xml:space="preserve">INTERNSHIP PROJECT REPORT  ·  2025</w:t>
      </w:r>
    </w:p>
    <w:p>
      <w:pPr>
        <w:pBdr>
          <w:top w:val="single" w:color="0D7377" w:sz="10"/>
          <w:bottom w:val="single" w:color="0D7377" w:sz="10"/>
        </w:pBdr>
        <w:spacing w:after="200" w:before="200"/>
        <w:jc w:val="center"/>
      </w:pPr>
      <w:r>
        <w:rPr>
          <w:rFonts w:ascii="Arial" w:cs="Arial" w:eastAsia="Arial" w:hAnsi="Arial"/>
          <w:b/>
          <w:bCs/>
          <w:color w:val="0A1628"/>
          <w:sz w:val="56"/>
          <w:szCs w:val="56"/>
        </w:rPr>
        <w:t xml:space="preserve">AI-Powered DFMEA Generator</w:t>
      </w:r>
    </w:p>
    <w:p>
      <w:pPr>
        <w:spacing w:after="1200" w:before="200"/>
        <w:jc w:val="center"/>
      </w:pPr>
      <w:r>
        <w:rPr>
          <w:rFonts w:ascii="Arial" w:cs="Arial" w:eastAsia="Arial" w:hAnsi="Arial"/>
          <w:i/>
          <w:iCs/>
          <w:color w:val="5E7A8A"/>
          <w:sz w:val="24"/>
          <w:szCs w:val="24"/>
        </w:rPr>
        <w:t xml:space="preserve">Part of the Intelligent Scalable Multi-Agent Architecture for Product Development</w:t>
      </w:r>
    </w:p>
    <w:p>
      <w:pPr>
        <w:spacing w:after="140"/>
        <w:jc w:val="center"/>
      </w:pPr>
      <w:r>
        <w:rPr>
          <w:rFonts w:ascii="Arial" w:cs="Arial" w:eastAsia="Arial" w:hAnsi="Arial"/>
          <w:b/>
          <w:bCs/>
          <w:color w:val="0A1628"/>
          <w:sz w:val="30"/>
          <w:szCs w:val="30"/>
        </w:rPr>
        <w:t xml:space="preserve">Revanth Kannan G</w:t>
      </w:r>
    </w:p>
    <w:p>
      <w:pPr>
        <w:spacing w:after="120"/>
        <w:jc w:val="center"/>
      </w:pPr>
      <w:r>
        <w:rPr>
          <w:rFonts w:ascii="Arial" w:cs="Arial" w:eastAsia="Arial" w:hAnsi="Arial"/>
          <w:color w:val="5E7A8A"/>
          <w:sz w:val="22"/>
          <w:szCs w:val="22"/>
        </w:rPr>
        <w:t xml:space="preserve">Engineering Design  |  ED22B063  |  IIT Madras</w:t>
      </w:r>
    </w:p>
    <w:p>
      <w:pPr>
        <w:spacing w:after="120"/>
        <w:jc w:val="center"/>
      </w:pPr>
      <w:r>
        <w:rPr>
          <w:rFonts w:ascii="Arial" w:cs="Arial" w:eastAsia="Arial" w:hAnsi="Arial"/>
          <w:color w:val="5E7A8A"/>
          <w:sz w:val="22"/>
          <w:szCs w:val="22"/>
        </w:rPr>
        <w:t xml:space="preserve">Mentor: Mr. Gopalakrishnan S  |  Ashok Leyland</w:t>
      </w:r>
    </w:p>
    <w:p>
      <w:pPr>
        <w:spacing w:after="800"/>
        <w:jc w:val="center"/>
      </w:pPr>
      <w:r>
        <w:rPr>
          <w:rFonts w:ascii="Arial" w:cs="Arial" w:eastAsia="Arial" w:hAnsi="Arial"/>
          <w:color w:val="5E7A8A"/>
          <w:sz w:val="20"/>
          <w:szCs w:val="20"/>
        </w:rPr>
        <w:t xml:space="preserve">Co-Interns: Madhupranavi S  |  Siddhant Erande</w:t>
      </w:r>
    </w:p>
    <w:p>
      <w:r>
        <w:br w:type="page"/>
      </w:r>
    </w:p>
    <w:p>
      <w:pPr>
        <w:sectPr>
          <w:pgSz w:w="12240" w:h="15840" w:orient="portrait"/>
          <w:pgMar w:top="1440" w:right="1440" w:bottom="1440" w:left="1440" w:header="708" w:footer="708" w:gutter="0"/>
          <w:pgNumType/>
          <w:docGrid w:linePitch="360"/>
        </w:sectPr>
      </w:pPr>
    </w:p>
    <w:p>
      <w:pPr>
        <w:pStyle w:val="Heading1"/>
        <w:spacing w:after="220" w:before="480"/>
      </w:pPr>
      <w:r>
        <w:rPr>
          <w:rFonts w:ascii="Arial" w:cs="Arial" w:eastAsia="Arial" w:hAnsi="Arial"/>
          <w:b/>
          <w:bCs/>
          <w:color w:val="0A1628"/>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20" w:before="480"/>
      </w:pPr>
      <w:r>
        <w:rPr>
          <w:rFonts w:ascii="Arial" w:cs="Arial" w:eastAsia="Arial" w:hAnsi="Arial"/>
          <w:b/>
          <w:bCs/>
          <w:color w:val="0A1628"/>
          <w:sz w:val="32"/>
          <w:szCs w:val="32"/>
        </w:rPr>
        <w:t xml:space="preserve">1. Introduction</w:t>
      </w:r>
    </w:p>
    <w:p>
      <w:pPr>
        <w:spacing w:after="160"/>
        <w:jc w:val="both"/>
      </w:pPr>
      <w:r>
        <w:rPr>
          <w:rFonts w:ascii="Arial" w:cs="Arial" w:eastAsia="Arial" w:hAnsi="Arial"/>
          <w:b w:val="false"/>
          <w:bCs w:val="false"/>
          <w:i w:val="false"/>
          <w:iCs w:val="false"/>
          <w:color w:val="000000"/>
          <w:sz w:val="22"/>
          <w:szCs w:val="22"/>
        </w:rPr>
        <w:t xml:space="preserve">This report documents the design and implementation of an AI-powered Design Failure Mode and Effects Analysis (DFMEA) generator developed during a summer internship at Ashok Leyland in 2025. The internship was conducted as part of a broader research initiative in collaboration with IIT Madras, focused on applying large language model (LLM) technology to automate knowledge-intensive engineering processes in the automotive product development cycle.</w:t>
      </w:r>
    </w:p>
    <w:p>
      <w:pPr>
        <w:spacing w:after="160"/>
        <w:jc w:val="both"/>
      </w:pPr>
      <w:r>
        <w:rPr>
          <w:rFonts w:ascii="Arial" w:cs="Arial" w:eastAsia="Arial" w:hAnsi="Arial"/>
          <w:b w:val="false"/>
          <w:bCs w:val="false"/>
          <w:i w:val="false"/>
          <w:iCs w:val="false"/>
          <w:color w:val="000000"/>
          <w:sz w:val="22"/>
          <w:szCs w:val="22"/>
        </w:rPr>
        <w:t xml:space="preserve">The work was carried out by three interns — Madhupranavi S, Revanth Kannan G, and Siddhant Erande — each building one agent within a shared multi-agent architecture. This report covers the full scope of the DFMEA generator (the primary contribution of Revanth Kannan G), the wider architectural context in which it sits, and the results obtained by running it on real Ashok Leyland sub-systems.</w:t>
      </w:r>
    </w:p>
    <w:p>
      <w:pPr>
        <w:spacing w:after="160"/>
        <w:jc w:val="both"/>
      </w:pPr>
      <w:r>
        <w:rPr>
          <w:rFonts w:ascii="Arial" w:cs="Arial" w:eastAsia="Arial" w:hAnsi="Arial"/>
          <w:b w:val="false"/>
          <w:bCs w:val="false"/>
          <w:i w:val="false"/>
          <w:iCs w:val="false"/>
          <w:color w:val="000000"/>
          <w:sz w:val="22"/>
          <w:szCs w:val="22"/>
        </w:rPr>
        <w:t xml:space="preserve">DFMEA is one of the most time-consuming and expert-dependent activities in automotive product development. A single sub-system DFMEA typically requires two to four weeks of senior engineer time and produces hundreds of rows, each demanding knowledge of failure physics, noise environments, and system-level effects. This project demonstrates that LLMs, properly grounded in AIAG-VDA methodology and guided by a structured wizard, can reduce that to hours while keeping the engineer in full control of every engineering judgment.</w:t>
      </w:r>
    </w:p>
    <w:p>
      <w:r>
        <w:br w:type="page"/>
      </w:r>
    </w:p>
    <w:p>
      <w:pPr>
        <w:pStyle w:val="Heading1"/>
        <w:spacing w:after="220" w:before="480"/>
      </w:pPr>
      <w:r>
        <w:rPr>
          <w:rFonts w:ascii="Arial" w:cs="Arial" w:eastAsia="Arial" w:hAnsi="Arial"/>
          <w:b/>
          <w:bCs/>
          <w:color w:val="0A1628"/>
          <w:sz w:val="32"/>
          <w:szCs w:val="32"/>
        </w:rPr>
        <w:t xml:space="preserve">2. The Overall Picture — Intelligent Scalable Multi-Agent Architecture</w:t>
      </w:r>
    </w:p>
    <w:p>
      <w:pPr>
        <w:pStyle w:val="Heading2"/>
        <w:spacing w:after="160" w:before="320"/>
      </w:pPr>
      <w:r>
        <w:rPr>
          <w:rFonts w:ascii="Arial" w:cs="Arial" w:eastAsia="Arial" w:hAnsi="Arial"/>
          <w:b/>
          <w:bCs/>
          <w:color w:val="0D7377"/>
          <w:sz w:val="26"/>
          <w:szCs w:val="26"/>
        </w:rPr>
        <w:t xml:space="preserve">2.1 Why an Agentic AI Framework?</w:t>
      </w:r>
    </w:p>
    <w:p>
      <w:pPr>
        <w:spacing w:after="160"/>
        <w:jc w:val="both"/>
      </w:pPr>
      <w:r>
        <w:rPr>
          <w:rFonts w:ascii="Arial" w:cs="Arial" w:eastAsia="Arial" w:hAnsi="Arial"/>
          <w:b w:val="false"/>
          <w:bCs w:val="false"/>
          <w:i w:val="false"/>
          <w:iCs w:val="false"/>
          <w:color w:val="000000"/>
          <w:sz w:val="22"/>
          <w:szCs w:val="22"/>
        </w:rPr>
        <w:t xml:space="preserve">Automotive product development at a company like Ashok Leyland involves hundreds of engineers working across six major engineering domains — Vehicle System (Chassis), CAB, Electrical &amp; Electronics, Drivetrain, Engine, and Integration — each with dozens of sub-systems and thousands of design parameters. The engineering knowledge that governs these systems is deep, domain-specific, and largely held by experienced individuals.</w:t>
      </w:r>
    </w:p>
    <w:p>
      <w:pPr>
        <w:spacing w:after="160"/>
        <w:jc w:val="both"/>
      </w:pPr>
      <w:r>
        <w:rPr>
          <w:rFonts w:ascii="Arial" w:cs="Arial" w:eastAsia="Arial" w:hAnsi="Arial"/>
          <w:b w:val="false"/>
          <w:bCs w:val="false"/>
          <w:i w:val="false"/>
          <w:iCs w:val="false"/>
          <w:color w:val="000000"/>
          <w:sz w:val="22"/>
          <w:szCs w:val="22"/>
        </w:rPr>
        <w:t xml:space="preserve">The challenge is structural: as the organisation scales, the gap between experienced and junior engineers widens. The same analyses are performed from scratch in each domain and sub-system when proven methods already exist. Documentation is siloed in Excel workbooks and legacy tools that do not communicate with each other. Junior engineers have no systematic way to access senior knowledge in real time.</w:t>
      </w:r>
    </w:p>
    <w:p>
      <w:pPr>
        <w:spacing w:after="160"/>
        <w:jc w:val="both"/>
      </w:pPr>
      <w:r>
        <w:rPr>
          <w:rFonts w:ascii="Arial" w:cs="Arial" w:eastAsia="Arial" w:hAnsi="Arial"/>
          <w:b w:val="false"/>
          <w:bCs w:val="false"/>
          <w:i w:val="false"/>
          <w:iCs w:val="false"/>
          <w:color w:val="000000"/>
          <w:sz w:val="22"/>
          <w:szCs w:val="22"/>
        </w:rPr>
        <w:t xml:space="preserve">A generic AI assistant (a simple chatbot) is not sufficient here. Engineering work requires domain-specific grounding — an LLM that has absorbed AIAG-VDA DFMEA methodology, automotive failure physics, and standard load cases for heavy trucks will produce fundamentally better DFMEA content than a general-purpose model. The solution is a set of specialised agents, each grounded in the knowledge and methodology of a specific engineering task, coordinated by a central orchestrator.</w:t>
      </w:r>
    </w:p>
    <w:p>
      <w:pPr>
        <w:pBdr>
          <w:left w:val="single" w:color="0D7377" w:sz="8" w:space="12"/>
        </w:pBdr>
        <w:shd w:fill="E8F4F8" w:val="clear"/>
        <w:spacing w:after="200" w:before="80"/>
        <w:ind w:left="360"/>
      </w:pPr>
      <w:r>
        <w:rPr>
          <w:rFonts w:ascii="Arial" w:cs="Arial" w:eastAsia="Arial" w:hAnsi="Arial"/>
          <w:b/>
          <w:bCs/>
          <w:color w:val="0D7377"/>
          <w:sz w:val="20"/>
          <w:szCs w:val="20"/>
        </w:rPr>
        <w:t xml:space="preserve">Vision  </w:t>
      </w:r>
      <w:r>
        <w:rPr>
          <w:rFonts w:ascii="Arial" w:cs="Arial" w:eastAsia="Arial" w:hAnsi="Arial"/>
          <w:i/>
          <w:iCs/>
          <w:sz w:val="20"/>
          <w:szCs w:val="20"/>
        </w:rPr>
        <w:t xml:space="preserve">A connected, automated, intelligent layer across all product development systems — one that augments every engineer's capabilities, applies domain knowledge systematically, and keeps engineers fully in control of every critical decision.</w:t>
      </w:r>
    </w:p>
    <w:p>
      <w:pPr>
        <w:pStyle w:val="Heading2"/>
        <w:spacing w:after="160" w:before="320"/>
      </w:pPr>
      <w:r>
        <w:rPr>
          <w:rFonts w:ascii="Arial" w:cs="Arial" w:eastAsia="Arial" w:hAnsi="Arial"/>
          <w:b/>
          <w:bCs/>
          <w:color w:val="0D7377"/>
          <w:sz w:val="26"/>
          <w:szCs w:val="26"/>
        </w:rPr>
        <w:t xml:space="preserve">2.2 The Architecture — N / N-1 / N-2 / Agents</w:t>
      </w:r>
    </w:p>
    <w:p>
      <w:pPr>
        <w:spacing w:after="160"/>
        <w:jc w:val="both"/>
      </w:pPr>
      <w:r>
        <w:rPr>
          <w:rFonts w:ascii="Arial" w:cs="Arial" w:eastAsia="Arial" w:hAnsi="Arial"/>
          <w:b w:val="false"/>
          <w:bCs w:val="false"/>
          <w:i w:val="false"/>
          <w:iCs w:val="false"/>
          <w:color w:val="000000"/>
          <w:sz w:val="22"/>
          <w:szCs w:val="22"/>
        </w:rPr>
        <w:t xml:space="preserve">The architecture is hierarchical with four levels. Each level is designed so that its structure is identical across all nodes at that level — making the system infinitely modular and extensible.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60"/>
        <w:gridCol w:w="6300"/>
      </w:tblGrid>
      <w:tr>
        <w:trPr>
          <w:tblHeader/>
        </w:trPr>
        <w:tc>
          <w:tcPr>
            <w:tcW w:type="dxa" w:w="9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Level</w:t>
            </w:r>
          </w:p>
        </w:tc>
        <w:tc>
          <w:tcPr>
            <w:tcW w:type="dxa" w:w="21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w:t>
            </w:r>
          </w:p>
        </w:tc>
        <w:tc>
          <w:tcPr>
            <w:tcW w:type="dxa" w:w="6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Central Orchestrator</w:t>
            </w:r>
          </w:p>
        </w:tc>
        <w:tc>
          <w:tcPr>
            <w:tcW w:type="dxa" w:w="6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Top-level coordinator: routes tasks across all domains, tracks cross-domain dependencies, provides a unified API surface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N-1</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Domain Systems</w:t>
            </w:r>
          </w:p>
        </w:tc>
        <w:tc>
          <w:tcPr>
            <w:tcW w:type="dxa" w:w="6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Six domain agents — Integration, Vehicle System, CAB, E&amp;E, Drivetrain, Engine — each managing all sub-systems within their domain</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N-2</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Sub-Systems</w:t>
            </w:r>
          </w:p>
        </w:tc>
        <w:tc>
          <w:tcPr>
            <w:tcW w:type="dxa" w:w="6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Each sub-system within a domain addressed independently. For Vehicle System: Frames, Suspension, Steering, Fuel System, and more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Agents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Per Sub-System</w:t>
            </w:r>
          </w:p>
        </w:tc>
        <w:tc>
          <w:tcPr>
            <w:tcW w:type="dxa" w:w="6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The specialised agents that perform actual engineering tasks. Same agent set for every sub-system — only the input data differs</w:t>
            </w:r>
          </w:p>
        </w:tc>
      </w:tr>
    </w:tbl>
    <w:p>
      <w:pPr>
        <w:spacing w:after="180"/>
      </w:pPr>
      <w:r>
        <w:t xml:space="preserve"/>
      </w:r>
    </w:p>
    <w:p>
      <w:pPr>
        <w:spacing w:after="160"/>
        <w:jc w:val="both"/>
      </w:pPr>
      <w:r>
        <w:rPr>
          <w:rFonts w:ascii="Arial" w:cs="Arial" w:eastAsia="Arial" w:hAnsi="Arial"/>
          <w:b w:val="false"/>
          <w:bCs w:val="false"/>
          <w:i w:val="false"/>
          <w:iCs w:val="false"/>
          <w:color w:val="000000"/>
          <w:sz w:val="22"/>
          <w:szCs w:val="22"/>
        </w:rPr>
        <w:t xml:space="preserve">The defining feature of this architecture is that the same agent set serves every sub-system. An agent built and validated for the Suspension sub-system deploys identically for Steering, Frames, Engine, or CAB — only the element definitions, functions, and domain knowledge change. This means building one sub-system's agents creates a reusable blueprint for all others.</w:t>
      </w:r>
    </w:p>
    <w:p>
      <w:pPr>
        <w:pStyle w:val="Heading2"/>
        <w:spacing w:after="160" w:before="320"/>
      </w:pPr>
      <w:r>
        <w:rPr>
          <w:rFonts w:ascii="Arial" w:cs="Arial" w:eastAsia="Arial" w:hAnsi="Arial"/>
          <w:b/>
          <w:bCs/>
          <w:color w:val="0D7377"/>
          <w:sz w:val="26"/>
          <w:szCs w:val="26"/>
        </w:rPr>
        <w:t xml:space="preserve">2.3 Five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Principle</w:t>
            </w:r>
          </w:p>
        </w:tc>
        <w:tc>
          <w:tcPr>
            <w:tcW w:type="dxa" w:w="7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Means in Practice</w:t>
            </w:r>
          </w:p>
        </w:tc>
      </w:tr>
      <w:tr>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Modular</w:t>
            </w:r>
          </w:p>
        </w:tc>
        <w:tc>
          <w:tcPr>
            <w:tcW w:type="dxa" w:w="7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Each sub-system follows the same blueprint. Build once for Suspension — the same code and architecture applies to Steering, Frames, Engine, and any future sub-system without redesign.</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Scalable</w:t>
            </w:r>
          </w:p>
        </w:tc>
        <w:tc>
          <w:tcPr>
            <w:tcW w:type="dxa" w:w="7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New domains plug in at N-1. New sub-systems at N-2. New agent types at the agent layer. None of these require changes to existing levels. The system grows with the organisation.</w:t>
            </w:r>
          </w:p>
        </w:tc>
      </w:tr>
      <w:tr>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Human-in-the-Loop</w:t>
            </w:r>
          </w:p>
        </w:tc>
        <w:tc>
          <w:tcPr>
            <w:tcW w:type="dxa" w:w="7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Augmentation, not replacement. Agents surface recommendations and automate mechanical tasks. Every critical engineering judgment — severity ratings, design decisions, acceptance — is owned by the engineer.</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Domain-Aware</w:t>
            </w:r>
          </w:p>
        </w:tc>
        <w:tc>
          <w:tcPr>
            <w:tcW w:type="dxa" w:w="7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Generic AI is not sufficient. Each agent is grounded in domain-specific methodology — AIAG-VDA for DFMEA, suspension physics for Ride Optimisation, engineering standards for Expert Advisor.</w:t>
            </w:r>
          </w:p>
        </w:tc>
      </w:tr>
      <w:tr>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Extensible</w:t>
            </w:r>
          </w:p>
        </w:tc>
        <w:tc>
          <w:tcPr>
            <w:tcW w:type="dxa" w:w="7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New agents can be added to any sub-system at any time — cost estimation, regulatory compliance, weight optimisation — without structural changes to the architecture.</w:t>
            </w:r>
          </w:p>
        </w:tc>
      </w:tr>
    </w:tbl>
    <w:p>
      <w:pPr>
        <w:spacing w:after="180"/>
      </w:pPr>
      <w:r>
        <w:t xml:space="preserve"/>
      </w:r>
    </w:p>
    <w:p>
      <w:r>
        <w:br w:type="page"/>
      </w:r>
    </w:p>
    <w:p>
      <w:pPr>
        <w:pStyle w:val="Heading1"/>
        <w:spacing w:after="220" w:before="480"/>
      </w:pPr>
      <w:r>
        <w:rPr>
          <w:rFonts w:ascii="Arial" w:cs="Arial" w:eastAsia="Arial" w:hAnsi="Arial"/>
          <w:b/>
          <w:bCs/>
          <w:color w:val="0A1628"/>
          <w:sz w:val="32"/>
          <w:szCs w:val="32"/>
        </w:rPr>
        <w:t xml:space="preserve">3. What We Built — Three Agents as Proof of Concept</w:t>
      </w:r>
    </w:p>
    <w:p>
      <w:pPr>
        <w:spacing w:after="160"/>
        <w:jc w:val="both"/>
      </w:pPr>
      <w:r>
        <w:rPr>
          <w:rFonts w:ascii="Arial" w:cs="Arial" w:eastAsia="Arial" w:hAnsi="Arial"/>
          <w:b w:val="false"/>
          <w:bCs w:val="false"/>
          <w:i w:val="false"/>
          <w:iCs w:val="false"/>
          <w:color w:val="000000"/>
          <w:sz w:val="22"/>
          <w:szCs w:val="22"/>
        </w:rPr>
        <w:t xml:space="preserve">As a proof of concept for the full architecture, three agents were implemented for the Vehicle System → Suspension sub-system. Two are cross-domain (the same agent code works for any other sub-system with only input data changes). One is suspension-specific. Together they demonstrate that the framework delivers end-to-end value for a real engineering sub-system.</w:t>
      </w:r>
    </w:p>
    <w:p>
      <w:pPr>
        <w:pStyle w:val="Heading2"/>
        <w:spacing w:after="160" w:before="320"/>
      </w:pPr>
      <w:r>
        <w:rPr>
          <w:rFonts w:ascii="Arial" w:cs="Arial" w:eastAsia="Arial" w:hAnsi="Arial"/>
          <w:b/>
          <w:bCs/>
          <w:color w:val="0D7377"/>
          <w:sz w:val="26"/>
          <w:szCs w:val="26"/>
        </w:rPr>
        <w:t xml:space="preserve">3.1 Expert Advisor Agent  —  Madhupranavi S</w:t>
      </w:r>
    </w:p>
    <w:p>
      <w:pPr>
        <w:spacing w:after="160"/>
        <w:jc w:val="both"/>
      </w:pPr>
      <w:r>
        <w:rPr>
          <w:rFonts w:ascii="Arial" w:cs="Arial" w:eastAsia="Arial" w:hAnsi="Arial"/>
          <w:b w:val="false"/>
          <w:bCs w:val="false"/>
          <w:i w:val="false"/>
          <w:iCs w:val="false"/>
          <w:color w:val="000000"/>
          <w:sz w:val="22"/>
          <w:szCs w:val="22"/>
        </w:rPr>
        <w:t xml:space="preserve">The Expert Advisor Agent is a domain-knowledge retrieval and expert query-answering system. An engineer asks a question — about a load case, a material standard, a design rule — and the agent retrieves the relevant answer from a validated, domain-specific knowledge base, citing the source document for every response.</w:t>
      </w:r>
    </w:p>
    <w:p>
      <w:pPr>
        <w:spacing w:after="160"/>
        <w:jc w:val="both"/>
      </w:pPr>
      <w:r>
        <w:rPr>
          <w:rFonts w:ascii="Arial" w:cs="Arial" w:eastAsia="Arial" w:hAnsi="Arial"/>
          <w:b w:val="false"/>
          <w:bCs w:val="false"/>
          <w:i w:val="false"/>
          <w:iCs w:val="false"/>
          <w:color w:val="000000"/>
          <w:sz w:val="22"/>
          <w:szCs w:val="22"/>
        </w:rPr>
        <w:t xml:space="preserve">The agent is cross-domain: it works identically for any engineering domain. Deploying it for the CAB domain requires only providing a different knowledge corpus — the retrieval mechanism, embedding model, and response format remain unchanged. This traceability distinguishes it from general-purpose LLM chat: every answer is verifiable back to a source.</w:t>
      </w:r>
    </w:p>
    <w:p>
      <w:pPr>
        <w:pStyle w:val="Heading2"/>
        <w:spacing w:after="160" w:before="320"/>
      </w:pPr>
      <w:r>
        <w:rPr>
          <w:rFonts w:ascii="Arial" w:cs="Arial" w:eastAsia="Arial" w:hAnsi="Arial"/>
          <w:b/>
          <w:bCs/>
          <w:color w:val="0D7377"/>
          <w:sz w:val="26"/>
          <w:szCs w:val="26"/>
        </w:rPr>
        <w:t xml:space="preserve">3.2 DFMEA Agent  —  Revanth Kannan G  (primary subject of this report)</w:t>
      </w:r>
    </w:p>
    <w:p>
      <w:pPr>
        <w:spacing w:after="160"/>
        <w:jc w:val="both"/>
      </w:pPr>
      <w:r>
        <w:rPr>
          <w:rFonts w:ascii="Arial" w:cs="Arial" w:eastAsia="Arial" w:hAnsi="Arial"/>
          <w:b w:val="false"/>
          <w:bCs w:val="false"/>
          <w:i w:val="false"/>
          <w:iCs w:val="false"/>
          <w:color w:val="000000"/>
          <w:sz w:val="22"/>
          <w:szCs w:val="22"/>
        </w:rPr>
        <w:t xml:space="preserve">The DFMEA Agent implements the full AIAG-VDA 2019 DFMEA generation workflow. Given a system's element hierarchy, functions, and operating noise factors, it generates a complete Design Failure Mode and Effects Analysis — including IFMEA (Interface Failure Mode and Effects Analysis) for the interfaces between components. The agent is cross-domain: generating a DFMEA for a gearbox or wiring harness requires no code changes — only different element definitions and noise factors.</w:t>
      </w:r>
    </w:p>
    <w:p>
      <w:pPr>
        <w:pStyle w:val="Heading2"/>
        <w:spacing w:after="160" w:before="320"/>
      </w:pPr>
      <w:r>
        <w:rPr>
          <w:rFonts w:ascii="Arial" w:cs="Arial" w:eastAsia="Arial" w:hAnsi="Arial"/>
          <w:b/>
          <w:bCs/>
          <w:color w:val="0D7377"/>
          <w:sz w:val="26"/>
          <w:szCs w:val="26"/>
        </w:rPr>
        <w:t xml:space="preserve">3.3 Ride Optimisation Agent  —  Siddhant Erande</w:t>
      </w:r>
    </w:p>
    <w:p>
      <w:pPr>
        <w:spacing w:after="160"/>
        <w:jc w:val="both"/>
      </w:pPr>
      <w:r>
        <w:rPr>
          <w:rFonts w:ascii="Arial" w:cs="Arial" w:eastAsia="Arial" w:hAnsi="Arial"/>
          <w:b w:val="false"/>
          <w:bCs w:val="false"/>
          <w:i w:val="false"/>
          <w:iCs w:val="false"/>
          <w:color w:val="000000"/>
          <w:sz w:val="22"/>
          <w:szCs w:val="22"/>
        </w:rPr>
        <w:t xml:space="preserve">The Ride Optimisation Agent optimises suspension system parameters — spring stiffness, damper rates, bushing stiffness, anti-roll bar rates — to simultaneously satisfy ride quality and handling targets. It accounts for road input power spectral density, vehicle load cases (empty, laden, GVW), and passenger comfort metrics, returning Pareto-optimal design candidates with trade-off analysis.</w:t>
      </w:r>
    </w:p>
    <w:p>
      <w:pPr>
        <w:spacing w:after="160"/>
        <w:jc w:val="both"/>
      </w:pPr>
      <w:r>
        <w:rPr>
          <w:rFonts w:ascii="Arial" w:cs="Arial" w:eastAsia="Arial" w:hAnsi="Arial"/>
          <w:b w:val="false"/>
          <w:bCs w:val="false"/>
          <w:i w:val="false"/>
          <w:iCs w:val="false"/>
          <w:color w:val="000000"/>
          <w:sz w:val="22"/>
          <w:szCs w:val="22"/>
        </w:rPr>
        <w:t xml:space="preserve">This agent is intentionally suspension-specific. The underlying physics (vehicle dynamics, road input spectra, stiffness-damping trade-offs) are unique to the suspension domain and cannot be trivially reused in other domains. It represents the category of physics-embedded specialised agents, contrasting with the methodology-embedded cross-domain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3240"/>
      </w:tblGrid>
      <w:tr>
        <w:trPr>
          <w:tblHeader/>
        </w:trPr>
        <w:tc>
          <w:tcPr>
            <w:tcW w:type="dxa" w:w="21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Agent</w:t>
            </w:r>
          </w:p>
        </w:tc>
        <w:tc>
          <w:tcPr>
            <w:tcW w:type="dxa" w:w="21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Owner</w:t>
            </w:r>
          </w:p>
        </w:tc>
        <w:tc>
          <w:tcPr>
            <w:tcW w:type="dxa" w:w="21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Domain Scope</w:t>
            </w:r>
          </w:p>
        </w:tc>
        <w:tc>
          <w:tcPr>
            <w:tcW w:type="dxa" w:w="324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Core Output</w:t>
            </w:r>
          </w:p>
        </w:tc>
      </w:tr>
      <w:tr>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Expert Advisor</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Madhupranavi S</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Cross-domain</w:t>
            </w:r>
          </w:p>
        </w:tc>
        <w:tc>
          <w:tcPr>
            <w:tcW w:type="dxa" w:w="32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Cited answers to engineering queries from validated knowledge base</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DFMEA Generator</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Revanth Kannan G</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Cross-domain</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AIAG-VDA 2019 DFMEA + IFMEA tables, risk ratings, CSV/XLSX export</w:t>
            </w:r>
          </w:p>
        </w:tc>
      </w:tr>
      <w:tr>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Ride Optimisation</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Siddhant Erande</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Suspension-specific</w:t>
            </w:r>
          </w:p>
        </w:tc>
        <w:tc>
          <w:tcPr>
            <w:tcW w:type="dxa" w:w="32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Pareto-optimal suspension parameter sets for ride/handling targets</w:t>
            </w:r>
          </w:p>
        </w:tc>
      </w:tr>
    </w:tbl>
    <w:p>
      <w:pPr>
        <w:spacing w:after="180"/>
      </w:pPr>
      <w:r>
        <w:t xml:space="preserve"/>
      </w:r>
    </w:p>
    <w:p>
      <w:r>
        <w:br w:type="page"/>
      </w:r>
    </w:p>
    <w:p>
      <w:pPr>
        <w:pStyle w:val="Heading1"/>
        <w:spacing w:after="220" w:before="480"/>
      </w:pPr>
      <w:r>
        <w:rPr>
          <w:rFonts w:ascii="Arial" w:cs="Arial" w:eastAsia="Arial" w:hAnsi="Arial"/>
          <w:b/>
          <w:bCs/>
          <w:color w:val="0A1628"/>
          <w:sz w:val="32"/>
          <w:szCs w:val="32"/>
        </w:rPr>
        <w:t xml:space="preserve">4. The DFMEA Generator — Full Technical Description</w:t>
      </w:r>
    </w:p>
    <w:p>
      <w:pPr>
        <w:pStyle w:val="Heading2"/>
        <w:spacing w:after="160" w:before="320"/>
      </w:pPr>
      <w:r>
        <w:rPr>
          <w:rFonts w:ascii="Arial" w:cs="Arial" w:eastAsia="Arial" w:hAnsi="Arial"/>
          <w:b/>
          <w:bCs/>
          <w:color w:val="0D7377"/>
          <w:sz w:val="26"/>
          <w:szCs w:val="26"/>
        </w:rPr>
        <w:t xml:space="preserve">4.1 What is DFMEA?</w:t>
      </w:r>
    </w:p>
    <w:p>
      <w:pPr>
        <w:spacing w:after="160"/>
        <w:jc w:val="both"/>
      </w:pPr>
      <w:r>
        <w:rPr>
          <w:rFonts w:ascii="Arial" w:cs="Arial" w:eastAsia="Arial" w:hAnsi="Arial"/>
          <w:b w:val="false"/>
          <w:bCs w:val="false"/>
          <w:i w:val="false"/>
          <w:iCs w:val="false"/>
          <w:color w:val="000000"/>
          <w:sz w:val="22"/>
          <w:szCs w:val="22"/>
        </w:rPr>
        <w:t xml:space="preserve">Design Failure Mode and Effects Analysis (DFMEA) is a systematic, proactive methodology mandated by the AIAG-VDA DFMEA handbook (2019) for identifying and mitigating potential design failures before production. It is a contractual deliverable for Tier-1 and Tier-2 suppliers to Ashok Leyland and other OEMs.</w:t>
      </w:r>
    </w:p>
    <w:p>
      <w:pPr>
        <w:spacing w:after="160"/>
        <w:jc w:val="both"/>
      </w:pPr>
      <w:r>
        <w:rPr>
          <w:rFonts w:ascii="Arial" w:cs="Arial" w:eastAsia="Arial" w:hAnsi="Arial"/>
          <w:b w:val="false"/>
          <w:bCs w:val="false"/>
          <w:i w:val="false"/>
          <w:iCs w:val="false"/>
          <w:color w:val="000000"/>
          <w:sz w:val="22"/>
          <w:szCs w:val="22"/>
        </w:rPr>
        <w:t xml:space="preserve">A DFMEA analyses a three-level element hierarchy:</w:t>
      </w:r>
    </w:p>
    <w:p>
      <w:pPr>
        <w:pStyle w:val="ListParagraph"/>
        <w:numPr>
          <w:ilvl w:val="0"/>
          <w:numId w:val="2"/>
        </w:numPr>
        <w:spacing w:after="80"/>
      </w:pPr>
      <w:r>
        <w:rPr>
          <w:rFonts w:ascii="Arial" w:cs="Arial" w:eastAsia="Arial" w:hAnsi="Arial"/>
          <w:sz w:val="22"/>
          <w:szCs w:val="22"/>
        </w:rPr>
        <w:t xml:space="preserve">Higher-Level Element — the system or assembly the focus component is part of</w:t>
      </w:r>
    </w:p>
    <w:p>
      <w:pPr>
        <w:pStyle w:val="ListParagraph"/>
        <w:numPr>
          <w:ilvl w:val="0"/>
          <w:numId w:val="2"/>
        </w:numPr>
        <w:spacing w:after="80"/>
      </w:pPr>
      <w:r>
        <w:rPr>
          <w:rFonts w:ascii="Arial" w:cs="Arial" w:eastAsia="Arial" w:hAnsi="Arial"/>
          <w:sz w:val="22"/>
          <w:szCs w:val="22"/>
        </w:rPr>
        <w:t xml:space="preserve">Focus Element — the component under analysis</w:t>
      </w:r>
    </w:p>
    <w:p>
      <w:pPr>
        <w:pStyle w:val="ListParagraph"/>
        <w:numPr>
          <w:ilvl w:val="0"/>
          <w:numId w:val="2"/>
        </w:numPr>
        <w:spacing w:after="80"/>
      </w:pPr>
      <w:r>
        <w:rPr>
          <w:rFonts w:ascii="Arial" w:cs="Arial" w:eastAsia="Arial" w:hAnsi="Arial"/>
          <w:sz w:val="22"/>
          <w:szCs w:val="22"/>
        </w:rPr>
        <w:t xml:space="preserve">Lower-Level Elements — the sub-components, interfaces, and design features of the focus element</w:t>
      </w:r>
    </w:p>
    <w:p>
      <w:pPr>
        <w:spacing w:after="160"/>
        <w:jc w:val="both"/>
      </w:pPr>
      <w:r>
        <w:rPr>
          <w:rFonts w:ascii="Arial" w:cs="Arial" w:eastAsia="Arial" w:hAnsi="Arial"/>
          <w:b w:val="false"/>
          <w:bCs w:val="false"/>
          <w:i w:val="false"/>
          <w:iCs w:val="false"/>
          <w:color w:val="000000"/>
          <w:sz w:val="22"/>
          <w:szCs w:val="22"/>
        </w:rPr>
        <w:t xml:space="preserve">For every function of the focus element the engineer identifies: what failure modes could occur; what effects those failures have on higher-level functions; what root causes (driven by noise factors) enable each failure; and how severe, likely, and detectable each risk is (S, O, D ratings). The RPN (S × O × D) and Action Priority (AP) classify each risk for prioritised engineering action.</w:t>
      </w:r>
    </w:p>
    <w:p>
      <w:pPr>
        <w:pStyle w:val="Heading2"/>
        <w:spacing w:after="160" w:before="320"/>
      </w:pPr>
      <w:r>
        <w:rPr>
          <w:rFonts w:ascii="Arial" w:cs="Arial" w:eastAsia="Arial" w:hAnsi="Arial"/>
          <w:b/>
          <w:bCs/>
          <w:color w:val="0D7377"/>
          <w:sz w:val="26"/>
          <w:szCs w:val="26"/>
        </w:rPr>
        <w:t xml:space="preserve">4.2 Two Versions of the Tool</w:t>
      </w:r>
    </w:p>
    <w:p>
      <w:pPr>
        <w:spacing w:after="160"/>
        <w:jc w:val="both"/>
      </w:pPr>
      <w:r>
        <w:rPr>
          <w:rFonts w:ascii="Arial" w:cs="Arial" w:eastAsia="Arial" w:hAnsi="Arial"/>
          <w:b w:val="false"/>
          <w:bCs w:val="false"/>
          <w:i w:val="false"/>
          <w:iCs w:val="false"/>
          <w:color w:val="000000"/>
          <w:sz w:val="22"/>
          <w:szCs w:val="22"/>
        </w:rPr>
        <w:t xml:space="preserve">The DFMEA generator was developed in two distinct versions over the course of the internship, each with a different technical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3240"/>
        <w:gridCol w:w="2880"/>
      </w:tblGrid>
      <w:tr>
        <w:trPr>
          <w:tblHeader/>
        </w:trPr>
        <w:tc>
          <w:tcPr>
            <w:tcW w:type="dxa" w:w="21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c>
          <w:tcPr>
            <w:tcW w:type="dxa" w:w="144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Period</w:t>
            </w:r>
          </w:p>
        </w:tc>
        <w:tc>
          <w:tcPr>
            <w:tcW w:type="dxa" w:w="324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 Stack</w:t>
            </w:r>
          </w:p>
        </w:tc>
        <w:tc>
          <w:tcPr>
            <w:tcW w:type="dxa" w:w="288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Difference</w:t>
            </w:r>
          </w:p>
        </w:tc>
      </w:tr>
      <w:tr>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V1 — LangGraph Prototype</w:t>
            </w:r>
          </w:p>
        </w:tc>
        <w:tc>
          <w:tcPr>
            <w:tcW w:type="dxa" w:w="14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March 2025</w:t>
            </w:r>
          </w:p>
        </w:tc>
        <w:tc>
          <w:tcPr>
            <w:tcW w:type="dxa" w:w="32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Python, Anthropic SDK, Streamlit, NetworkX, Amazon Titan Embeddings</w:t>
            </w:r>
          </w:p>
        </w:tc>
        <w:tc>
          <w:tcPr>
            <w:tcW w:type="dxa" w:w="28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Graph-based state machine; embedding-based function matching; single-file architecture</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V2 — Full-Stack Application</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April–May 2025</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Next.js/React, FastAPI, Tailwind CSS, AWS Bedrock (Claude Sonnet)</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10-step guided wizard; modular router backend; IFMEA integration; import/export workflows</w:t>
            </w:r>
          </w:p>
        </w:tc>
      </w:tr>
    </w:tbl>
    <w:p>
      <w:pPr>
        <w:spacing w:after="180"/>
      </w:pPr>
      <w:r>
        <w:t xml:space="preserve"/>
      </w:r>
    </w:p>
    <w:p>
      <w:r>
        <w:br w:type="page"/>
      </w:r>
    </w:p>
    <w:p>
      <w:pPr>
        <w:pStyle w:val="Heading2"/>
        <w:spacing w:after="160" w:before="320"/>
      </w:pPr>
      <w:r>
        <w:rPr>
          <w:rFonts w:ascii="Arial" w:cs="Arial" w:eastAsia="Arial" w:hAnsi="Arial"/>
          <w:b/>
          <w:bCs/>
          <w:color w:val="0D7377"/>
          <w:sz w:val="26"/>
          <w:szCs w:val="26"/>
        </w:rPr>
        <w:t xml:space="preserve">4.3 Version 1 — LangGraph Prototype Code Structure</w:t>
      </w:r>
    </w:p>
    <w:p>
      <w:pPr>
        <w:spacing w:after="160"/>
        <w:jc w:val="both"/>
      </w:pPr>
      <w:r>
        <w:rPr>
          <w:rFonts w:ascii="Arial" w:cs="Arial" w:eastAsia="Arial" w:hAnsi="Arial"/>
          <w:b w:val="false"/>
          <w:bCs w:val="false"/>
          <w:i w:val="false"/>
          <w:iCs w:val="false"/>
          <w:color w:val="000000"/>
          <w:sz w:val="22"/>
          <w:szCs w:val="22"/>
        </w:rPr>
        <w:t xml:space="preserve">The first version was built as a Python application using a graph-based architecture (inspired by LangGraph's state machine approach), Streamlit for the UI, and the Anthropic Python SDK for LLM calls. The function matching logic used Amazon Titan embeddings and cosine similarity to automatically connect lower-level functions to focus functions.</w:t>
      </w:r>
    </w:p>
    <w:p>
      <w:pPr>
        <w:pStyle w:val="Heading3"/>
        <w:spacing w:after="100" w:before="240"/>
      </w:pPr>
      <w:r>
        <w:rPr>
          <w:rFonts w:ascii="Arial" w:cs="Arial" w:eastAsia="Arial" w:hAnsi="Arial"/>
          <w:b/>
          <w:bCs/>
          <w:color w:val="0A1628"/>
          <w:sz w:val="22"/>
          <w:szCs w:val="22"/>
        </w:rPr>
        <w:t xml:space="preserve">Folder Structure</w:t>
      </w:r>
    </w:p>
    <w:p>
      <w:pPr>
        <w:pBdr>
          <w:left w:val="single" w:color="0D7377" w:sz="6" w:space="12"/>
        </w:pBdr>
        <w:spacing w:after="40"/>
        <w:ind w:left="720"/>
      </w:pPr>
      <w:r>
        <w:rPr>
          <w:rFonts w:ascii="Courier New" w:cs="Courier New" w:eastAsia="Courier New" w:hAnsi="Courier New"/>
          <w:color w:val="1A3A4A"/>
          <w:sz w:val="18"/>
          <w:szCs w:val="18"/>
        </w:rPr>
        <w:t xml:space="preserve">dfmea_prototype/</w:t>
      </w:r>
    </w:p>
    <w:p>
      <w:pPr>
        <w:pBdr>
          <w:left w:val="single" w:color="0D7377" w:sz="6" w:space="12"/>
        </w:pBdr>
        <w:spacing w:after="40"/>
        <w:ind w:left="720"/>
      </w:pPr>
      <w:r>
        <w:rPr>
          <w:rFonts w:ascii="Courier New" w:cs="Courier New" w:eastAsia="Courier New" w:hAnsi="Courier New"/>
          <w:color w:val="1A3A4A"/>
          <w:sz w:val="18"/>
          <w:szCs w:val="18"/>
        </w:rPr>
        <w:t xml:space="preserve">  dfmea_generator.py         Core generation logic — prompts and LLM calls</w:t>
      </w:r>
    </w:p>
    <w:p>
      <w:pPr>
        <w:pBdr>
          <w:left w:val="single" w:color="0D7377" w:sz="6" w:space="12"/>
        </w:pBdr>
        <w:spacing w:after="40"/>
        <w:ind w:left="720"/>
      </w:pPr>
      <w:r>
        <w:rPr>
          <w:rFonts w:ascii="Courier New" w:cs="Courier New" w:eastAsia="Courier New" w:hAnsi="Courier New"/>
          <w:color w:val="1A3A4A"/>
          <w:sz w:val="18"/>
          <w:szCs w:val="18"/>
        </w:rPr>
        <w:t xml:space="preserve">  dfmea_generator_embeddings.py  Titan embedding client + cosine similarity matching</w:t>
      </w:r>
    </w:p>
    <w:p>
      <w:pPr>
        <w:pBdr>
          <w:left w:val="single" w:color="0D7377" w:sz="6" w:space="12"/>
        </w:pBdr>
        <w:spacing w:after="40"/>
        <w:ind w:left="720"/>
      </w:pPr>
      <w:r>
        <w:rPr>
          <w:rFonts w:ascii="Courier New" w:cs="Courier New" w:eastAsia="Courier New" w:hAnsi="Courier New"/>
          <w:color w:val="1A3A4A"/>
          <w:sz w:val="18"/>
          <w:szCs w:val="18"/>
        </w:rPr>
        <w:t xml:space="preserve">  dfmea_app.py               Streamlit UI — the complete user interface</w:t>
      </w:r>
    </w:p>
    <w:p>
      <w:pPr>
        <w:pBdr>
          <w:left w:val="single" w:color="0D7377" w:sz="6" w:space="12"/>
        </w:pBdr>
        <w:spacing w:after="40"/>
        <w:ind w:left="720"/>
      </w:pPr>
      <w:r>
        <w:rPr>
          <w:rFonts w:ascii="Courier New" w:cs="Courier New" w:eastAsia="Courier New" w:hAnsi="Courier New"/>
          <w:color w:val="1A3A4A"/>
          <w:sz w:val="18"/>
          <w:szCs w:val="18"/>
        </w:rPr>
        <w:t xml:space="preserve">  network_build.py           NetworkX graph: function connection graph + traversal</w:t>
      </w:r>
    </w:p>
    <w:p>
      <w:pPr>
        <w:pBdr>
          <w:left w:val="single" w:color="0D7377" w:sz="6" w:space="12"/>
        </w:pBdr>
        <w:spacing w:after="40"/>
        <w:ind w:left="720"/>
      </w:pPr>
      <w:r>
        <w:rPr>
          <w:rFonts w:ascii="Courier New" w:cs="Courier New" w:eastAsia="Courier New" w:hAnsi="Courier New"/>
          <w:color w:val="1A3A4A"/>
          <w:sz w:val="18"/>
          <w:szCs w:val="18"/>
        </w:rPr>
        <w:t xml:space="preserve">  requirements.txt           Dependencies</w:t>
      </w:r>
    </w:p>
    <w:p>
      <w:pPr>
        <w:pStyle w:val="Heading3"/>
        <w:spacing w:after="100" w:before="240"/>
      </w:pPr>
      <w:r>
        <w:rPr>
          <w:rFonts w:ascii="Arial" w:cs="Arial" w:eastAsia="Arial" w:hAnsi="Arial"/>
          <w:b/>
          <w:bCs/>
          <w:color w:val="0A1628"/>
          <w:sz w:val="22"/>
          <w:szCs w:val="22"/>
        </w:rPr>
        <w:t xml:space="preserve">dfmea_generator.py — Core Generation Logic</w:t>
      </w:r>
    </w:p>
    <w:p>
      <w:pPr>
        <w:spacing w:after="160"/>
        <w:jc w:val="both"/>
      </w:pPr>
      <w:r>
        <w:rPr>
          <w:rFonts w:ascii="Arial" w:cs="Arial" w:eastAsia="Arial" w:hAnsi="Arial"/>
          <w:b w:val="false"/>
          <w:bCs w:val="false"/>
          <w:i w:val="false"/>
          <w:iCs w:val="false"/>
          <w:color w:val="000000"/>
          <w:sz w:val="22"/>
          <w:szCs w:val="22"/>
        </w:rPr>
        <w:t xml:space="preserve">This file contains the AIAG-VDA DFMEA system prompt and all prompt-building functions. The key design was function-level generation: one LLM call per failure mode archetype per focus function, enforcing all four archetypes (Complete Loss, Partial/Degraded, Excessive/Unintended, Intermittent). Each call returns structured JSON: failure modes with effects, causes, safety flags, and archetype labels.</w:t>
      </w:r>
    </w:p>
    <w:p>
      <w:pPr>
        <w:spacing w:after="160"/>
        <w:jc w:val="both"/>
      </w:pPr>
      <w:r>
        <w:rPr>
          <w:rFonts w:ascii="Arial" w:cs="Arial" w:eastAsia="Arial" w:hAnsi="Arial"/>
          <w:b w:val="false"/>
          <w:bCs w:val="false"/>
          <w:i w:val="false"/>
          <w:iCs w:val="false"/>
          <w:color w:val="000000"/>
          <w:sz w:val="22"/>
          <w:szCs w:val="22"/>
        </w:rPr>
        <w:t xml:space="preserve">The generation traversal:</w:t>
      </w:r>
    </w:p>
    <w:p>
      <w:pPr>
        <w:pStyle w:val="ListParagraph"/>
        <w:numPr>
          <w:ilvl w:val="0"/>
          <w:numId w:val="2"/>
        </w:numPr>
        <w:spacing w:after="80"/>
      </w:pPr>
      <w:r>
        <w:rPr>
          <w:rFonts w:ascii="Arial" w:cs="Arial" w:eastAsia="Arial" w:hAnsi="Arial"/>
          <w:sz w:val="22"/>
          <w:szCs w:val="22"/>
        </w:rPr>
        <w:t xml:space="preserve">For each focus function → for each of 4 archetypes → generate failure modes (LLM call)</w:t>
      </w:r>
    </w:p>
    <w:p>
      <w:pPr>
        <w:pStyle w:val="ListParagraph"/>
        <w:numPr>
          <w:ilvl w:val="0"/>
          <w:numId w:val="2"/>
        </w:numPr>
        <w:spacing w:after="80"/>
      </w:pPr>
      <w:r>
        <w:rPr>
          <w:rFonts w:ascii="Arial" w:cs="Arial" w:eastAsia="Arial" w:hAnsi="Arial"/>
          <w:sz w:val="22"/>
          <w:szCs w:val="22"/>
        </w:rPr>
        <w:t xml:space="preserve">For each failure mode → for each connected lower-level function + noise factor → generate cause (LLM call)</w:t>
      </w:r>
    </w:p>
    <w:p>
      <w:pPr>
        <w:pStyle w:val="ListParagraph"/>
        <w:numPr>
          <w:ilvl w:val="0"/>
          <w:numId w:val="2"/>
        </w:numPr>
        <w:spacing w:after="80"/>
      </w:pPr>
      <w:r>
        <w:rPr>
          <w:rFonts w:ascii="Arial" w:cs="Arial" w:eastAsia="Arial" w:hAnsi="Arial"/>
          <w:sz w:val="22"/>
          <w:szCs w:val="22"/>
        </w:rPr>
        <w:t xml:space="preserve">For each failure mode → for each connected higher-level function → generate effect (LLM call)</w:t>
      </w:r>
    </w:p>
    <w:p>
      <w:pPr>
        <w:pStyle w:val="ListParagraph"/>
        <w:numPr>
          <w:ilvl w:val="0"/>
          <w:numId w:val="2"/>
        </w:numPr>
        <w:spacing w:after="80"/>
      </w:pPr>
      <w:r>
        <w:rPr>
          <w:rFonts w:ascii="Arial" w:cs="Arial" w:eastAsia="Arial" w:hAnsi="Arial"/>
          <w:sz w:val="22"/>
          <w:szCs w:val="22"/>
        </w:rPr>
        <w:t xml:space="preserve">Post-generation: completeness audit prompt to check coverage gaps</w:t>
      </w:r>
    </w:p>
    <w:p>
      <w:pPr>
        <w:pStyle w:val="Heading3"/>
        <w:spacing w:after="100" w:before="240"/>
      </w:pPr>
      <w:r>
        <w:rPr>
          <w:rFonts w:ascii="Arial" w:cs="Arial" w:eastAsia="Arial" w:hAnsi="Arial"/>
          <w:b/>
          <w:bCs/>
          <w:color w:val="0A1628"/>
          <w:sz w:val="22"/>
          <w:szCs w:val="22"/>
        </w:rPr>
        <w:t xml:space="preserve">dfmea_generator_embeddings.py — Titan Embedding Function Matching</w:t>
      </w:r>
    </w:p>
    <w:p>
      <w:pPr>
        <w:spacing w:after="160"/>
        <w:jc w:val="both"/>
      </w:pPr>
      <w:r>
        <w:rPr>
          <w:rFonts w:ascii="Arial" w:cs="Arial" w:eastAsia="Arial" w:hAnsi="Arial"/>
          <w:b w:val="false"/>
          <w:bCs w:val="false"/>
          <w:i w:val="false"/>
          <w:iCs w:val="false"/>
          <w:color w:val="000000"/>
          <w:sz w:val="22"/>
          <w:szCs w:val="22"/>
        </w:rPr>
        <w:t xml:space="preserve">This module replaced manual function connection dropdowns in the early UI. It calls the Amazon Titan embedding model (amazon.titan-embed-text-v2:0, 512-dimensional, normalised) to embed each function description, then uses cosine similarity (dot product of normalised vectors) to find the most semantically related lower and higher functions for each focus function. An EmbeddingCache class avoids re-embedding the same text across multiple traversal iterations.</w:t>
      </w:r>
    </w:p>
    <w:p>
      <w:pPr>
        <w:pBdr>
          <w:left w:val="single" w:color="0D7377" w:sz="6" w:space="12"/>
        </w:pBdr>
        <w:spacing w:after="40"/>
        <w:ind w:left="720"/>
      </w:pPr>
      <w:r>
        <w:rPr>
          <w:rFonts w:ascii="Courier New" w:cs="Courier New" w:eastAsia="Courier New" w:hAnsi="Courier New"/>
          <w:color w:val="1A3A4A"/>
          <w:sz w:val="18"/>
          <w:szCs w:val="18"/>
        </w:rPr>
        <w:t xml:space="preserve">Model:   amazon.titan-embed-text-v2:0</w:t>
      </w:r>
    </w:p>
    <w:p>
      <w:pPr>
        <w:pBdr>
          <w:left w:val="single" w:color="0D7377" w:sz="6" w:space="12"/>
        </w:pBdr>
        <w:spacing w:after="40"/>
        <w:ind w:left="720"/>
      </w:pPr>
      <w:r>
        <w:rPr>
          <w:rFonts w:ascii="Courier New" w:cs="Courier New" w:eastAsia="Courier New" w:hAnsi="Courier New"/>
          <w:color w:val="1A3A4A"/>
          <w:sz w:val="18"/>
          <w:szCs w:val="18"/>
        </w:rPr>
        <w:t xml:space="preserve">Region:  ap-south-1</w:t>
      </w:r>
    </w:p>
    <w:p>
      <w:pPr>
        <w:pBdr>
          <w:left w:val="single" w:color="0D7377" w:sz="6" w:space="12"/>
        </w:pBdr>
        <w:spacing w:after="40"/>
        <w:ind w:left="720"/>
      </w:pPr>
      <w:r>
        <w:rPr>
          <w:rFonts w:ascii="Courier New" w:cs="Courier New" w:eastAsia="Courier New" w:hAnsi="Courier New"/>
          <w:color w:val="1A3A4A"/>
          <w:sz w:val="18"/>
          <w:szCs w:val="18"/>
        </w:rPr>
        <w:t xml:space="preserve">Dims:    512  (normalised — cosine sim = dot product)</w:t>
      </w:r>
    </w:p>
    <w:p>
      <w:pPr>
        <w:pBdr>
          <w:left w:val="single" w:color="0D7377" w:sz="6" w:space="12"/>
        </w:pBdr>
        <w:spacing w:after="40"/>
        <w:ind w:left="720"/>
      </w:pPr>
      <w:r>
        <w:rPr>
          <w:rFonts w:ascii="Courier New" w:cs="Courier New" w:eastAsia="Courier New" w:hAnsi="Courier New"/>
          <w:color w:val="1A3A4A"/>
          <w:sz w:val="18"/>
          <w:szCs w:val="18"/>
        </w:rPr>
        <w:t xml:space="preserve">Threshold: 0.55 cosine similarity to accept a connection</w:t>
      </w:r>
    </w:p>
    <w:p>
      <w:pPr>
        <w:pStyle w:val="Heading3"/>
        <w:spacing w:after="100" w:before="240"/>
      </w:pPr>
      <w:r>
        <w:rPr>
          <w:rFonts w:ascii="Arial" w:cs="Arial" w:eastAsia="Arial" w:hAnsi="Arial"/>
          <w:b/>
          <w:bCs/>
          <w:color w:val="0A1628"/>
          <w:sz w:val="22"/>
          <w:szCs w:val="22"/>
        </w:rPr>
        <w:t xml:space="preserve">dfmea_app.py — Streamlit UI</w:t>
      </w:r>
    </w:p>
    <w:p>
      <w:pPr>
        <w:spacing w:after="160"/>
        <w:jc w:val="both"/>
      </w:pPr>
      <w:r>
        <w:rPr>
          <w:rFonts w:ascii="Arial" w:cs="Arial" w:eastAsia="Arial" w:hAnsi="Arial"/>
          <w:b w:val="false"/>
          <w:bCs w:val="false"/>
          <w:i w:val="false"/>
          <w:iCs w:val="false"/>
          <w:color w:val="000000"/>
          <w:sz w:val="22"/>
          <w:szCs w:val="22"/>
        </w:rPr>
        <w:t xml:space="preserve">The Streamlit application provided a form-based UI for entering all inputs: element names and types, functions at each level, noise factors, operating conditions, and known failure history. It called dfmea_generator.py for generation and dfmea_generator_embeddings.py for automatic function matching, then displayed the resulting DFMEA in a styled dataframe and offered an Excel download in AIAG-VDA format (openpyxl).</w:t>
      </w:r>
    </w:p>
    <w:p>
      <w:pPr>
        <w:pStyle w:val="Heading3"/>
        <w:spacing w:after="100" w:before="240"/>
      </w:pPr>
      <w:r>
        <w:rPr>
          <w:rFonts w:ascii="Arial" w:cs="Arial" w:eastAsia="Arial" w:hAnsi="Arial"/>
          <w:b/>
          <w:bCs/>
          <w:color w:val="0A1628"/>
          <w:sz w:val="22"/>
          <w:szCs w:val="22"/>
        </w:rPr>
        <w:t xml:space="preserve">network_build.py — Function Connection Graph</w:t>
      </w:r>
    </w:p>
    <w:p>
      <w:pPr>
        <w:spacing w:after="160"/>
        <w:jc w:val="both"/>
      </w:pPr>
      <w:r>
        <w:rPr>
          <w:rFonts w:ascii="Arial" w:cs="Arial" w:eastAsia="Arial" w:hAnsi="Arial"/>
          <w:b w:val="false"/>
          <w:bCs w:val="false"/>
          <w:i w:val="false"/>
          <w:iCs w:val="false"/>
          <w:color w:val="000000"/>
          <w:sz w:val="22"/>
          <w:szCs w:val="22"/>
        </w:rPr>
        <w:t xml:space="preserve">A NetworkX directed graph modelled the function connection relationships: lower-level function nodes connected to focus function nodes, which connected to higher-level function nodes. The traversal used this graph to determine, for each focus function, which lower and higher functions were relevant — ensuring causes and effects were only generated for connected pairs, not all permutations.</w:t>
      </w:r>
    </w:p>
    <w:p>
      <w:pPr>
        <w:spacing w:after="180"/>
      </w:pPr>
      <w:r>
        <w:t xml:space="preserve"/>
      </w:r>
    </w:p>
    <w:p>
      <w:r>
        <w:br w:type="page"/>
      </w:r>
    </w:p>
    <w:p>
      <w:pPr>
        <w:pStyle w:val="Heading2"/>
        <w:spacing w:after="160" w:before="320"/>
      </w:pPr>
      <w:r>
        <w:rPr>
          <w:rFonts w:ascii="Arial" w:cs="Arial" w:eastAsia="Arial" w:hAnsi="Arial"/>
          <w:b/>
          <w:bCs/>
          <w:color w:val="0D7377"/>
          <w:sz w:val="26"/>
          <w:szCs w:val="26"/>
        </w:rPr>
        <w:t xml:space="preserve">4.4 Version 2 — Full-Stack Application Code Structure</w:t>
      </w:r>
    </w:p>
    <w:p>
      <w:pPr>
        <w:spacing w:after="160"/>
        <w:jc w:val="both"/>
      </w:pPr>
      <w:r>
        <w:rPr>
          <w:rFonts w:ascii="Arial" w:cs="Arial" w:eastAsia="Arial" w:hAnsi="Arial"/>
          <w:b w:val="false"/>
          <w:bCs w:val="false"/>
          <w:i w:val="false"/>
          <w:iCs w:val="false"/>
          <w:color w:val="000000"/>
          <w:sz w:val="22"/>
          <w:szCs w:val="22"/>
        </w:rPr>
        <w:t xml:space="preserve">The second version is a production-quality full-stack web application. The frontend is a guided wizard built in Next.js and React; the backend is a FastAPI application with modular routers; the LLM is Claude 3.5 Sonnet on AWS Bedrock (ap-south-1). All communication between frontend and backend is via REST API calls.</w:t>
      </w:r>
    </w:p>
    <w:p>
      <w:pPr>
        <w:pStyle w:val="Heading3"/>
        <w:spacing w:after="100" w:before="240"/>
      </w:pPr>
      <w:r>
        <w:rPr>
          <w:rFonts w:ascii="Arial" w:cs="Arial" w:eastAsia="Arial" w:hAnsi="Arial"/>
          <w:b/>
          <w:bCs/>
          <w:color w:val="0A1628"/>
          <w:sz w:val="22"/>
          <w:szCs w:val="22"/>
        </w:rPr>
        <w:t xml:space="preserve">Folder Structure — Frontend</w:t>
      </w:r>
    </w:p>
    <w:p>
      <w:pPr>
        <w:pBdr>
          <w:left w:val="single" w:color="0D7377" w:sz="6" w:space="12"/>
        </w:pBdr>
        <w:spacing w:after="40"/>
        <w:ind w:left="720"/>
      </w:pPr>
      <w:r>
        <w:rPr>
          <w:rFonts w:ascii="Courier New" w:cs="Courier New" w:eastAsia="Courier New" w:hAnsi="Courier New"/>
          <w:color w:val="1A3A4A"/>
          <w:sz w:val="18"/>
          <w:szCs w:val="18"/>
        </w:rPr>
        <w:t xml:space="preserve">app/</w:t>
      </w:r>
    </w:p>
    <w:p>
      <w:pPr>
        <w:pBdr>
          <w:left w:val="single" w:color="0D7377" w:sz="6" w:space="12"/>
        </w:pBdr>
        <w:spacing w:after="40"/>
        <w:ind w:left="720"/>
      </w:pPr>
      <w:r>
        <w:rPr>
          <w:rFonts w:ascii="Courier New" w:cs="Courier New" w:eastAsia="Courier New" w:hAnsi="Courier New"/>
          <w:color w:val="1A3A4A"/>
          <w:sz w:val="18"/>
          <w:szCs w:val="18"/>
        </w:rPr>
        <w:t xml:space="preserve">  page.tsx                   Root page — wires DFMEALauncher → DFMEAWizard</w:t>
      </w:r>
    </w:p>
    <w:p>
      <w:pPr>
        <w:pBdr>
          <w:left w:val="single" w:color="0D7377" w:sz="6" w:space="12"/>
        </w:pBdr>
        <w:spacing w:after="40"/>
        <w:ind w:left="720"/>
      </w:pPr>
      <w:r>
        <w:rPr>
          <w:rFonts w:ascii="Courier New" w:cs="Courier New" w:eastAsia="Courier New" w:hAnsi="Courier New"/>
          <w:color w:val="1A3A4A"/>
          <w:sz w:val="18"/>
          <w:szCs w:val="18"/>
        </w:rPr>
        <w:t xml:space="preserve">components/</w:t>
      </w:r>
    </w:p>
    <w:p>
      <w:pPr>
        <w:pBdr>
          <w:left w:val="single" w:color="0D7377" w:sz="6" w:space="12"/>
        </w:pBdr>
        <w:spacing w:after="40"/>
        <w:ind w:left="720"/>
      </w:pPr>
      <w:r>
        <w:rPr>
          <w:rFonts w:ascii="Courier New" w:cs="Courier New" w:eastAsia="Courier New" w:hAnsi="Courier New"/>
          <w:color w:val="1A3A4A"/>
          <w:sz w:val="18"/>
          <w:szCs w:val="18"/>
        </w:rPr>
        <w:t xml:space="preserve">  DFMEALauncher.tsx          Mode selection screen (New Design / New Use Case / Design Change)</w:t>
      </w:r>
    </w:p>
    <w:p>
      <w:pPr>
        <w:pBdr>
          <w:left w:val="single" w:color="0D7377" w:sz="6" w:space="12"/>
        </w:pBdr>
        <w:spacing w:after="40"/>
        <w:ind w:left="720"/>
      </w:pPr>
      <w:r>
        <w:rPr>
          <w:rFonts w:ascii="Courier New" w:cs="Courier New" w:eastAsia="Courier New" w:hAnsi="Courier New"/>
          <w:color w:val="1A3A4A"/>
          <w:sz w:val="18"/>
          <w:szCs w:val="18"/>
        </w:rPr>
        <w:t xml:space="preserve">  DFMEAWizard_updated.tsx    Main wizard (3200 lines) — all 10 steps + IFMEA</w:t>
      </w:r>
    </w:p>
    <w:p>
      <w:pPr>
        <w:pBdr>
          <w:left w:val="single" w:color="0D7377" w:sz="6" w:space="12"/>
        </w:pBdr>
        <w:spacing w:after="40"/>
        <w:ind w:left="720"/>
      </w:pPr>
      <w:r>
        <w:rPr>
          <w:rFonts w:ascii="Courier New" w:cs="Courier New" w:eastAsia="Courier New" w:hAnsi="Courier New"/>
          <w:color w:val="1A3A4A"/>
          <w:sz w:val="18"/>
          <w:szCs w:val="18"/>
        </w:rPr>
        <w:t xml:space="preserve">  DiagramPanel.tsx           B-Diagram SVG canvas subcomponent</w:t>
      </w:r>
    </w:p>
    <w:p>
      <w:pPr>
        <w:pBdr>
          <w:left w:val="single" w:color="0D7377" w:sz="6" w:space="12"/>
        </w:pBdr>
        <w:spacing w:after="40"/>
        <w:ind w:left="720"/>
      </w:pPr>
      <w:r>
        <w:rPr>
          <w:rFonts w:ascii="Courier New" w:cs="Courier New" w:eastAsia="Courier New" w:hAnsi="Courier New"/>
          <w:color w:val="1A3A4A"/>
          <w:sz w:val="18"/>
          <w:szCs w:val="18"/>
        </w:rPr>
        <w:t xml:space="preserve">  DiagramStep.tsx            B-Diagram step wrapper</w:t>
      </w:r>
    </w:p>
    <w:p>
      <w:pPr>
        <w:pStyle w:val="Heading3"/>
        <w:spacing w:after="100" w:before="240"/>
      </w:pPr>
      <w:r>
        <w:rPr>
          <w:rFonts w:ascii="Arial" w:cs="Arial" w:eastAsia="Arial" w:hAnsi="Arial"/>
          <w:b/>
          <w:bCs/>
          <w:color w:val="0A1628"/>
          <w:sz w:val="22"/>
          <w:szCs w:val="22"/>
        </w:rPr>
        <w:t xml:space="preserve">Folder Structure — Backend</w:t>
      </w:r>
    </w:p>
    <w:p>
      <w:pPr>
        <w:pBdr>
          <w:left w:val="single" w:color="0D7377" w:sz="6" w:space="12"/>
        </w:pBdr>
        <w:spacing w:after="40"/>
        <w:ind w:left="720"/>
      </w:pPr>
      <w:r>
        <w:rPr>
          <w:rFonts w:ascii="Courier New" w:cs="Courier New" w:eastAsia="Courier New" w:hAnsi="Courier New"/>
          <w:color w:val="1A3A4A"/>
          <w:sz w:val="18"/>
          <w:szCs w:val="18"/>
        </w:rPr>
        <w:t xml:space="preserve">backend/</w:t>
      </w:r>
    </w:p>
    <w:p>
      <w:pPr>
        <w:pBdr>
          <w:left w:val="single" w:color="0D7377" w:sz="6" w:space="12"/>
        </w:pBdr>
        <w:spacing w:after="40"/>
        <w:ind w:left="720"/>
      </w:pPr>
      <w:r>
        <w:rPr>
          <w:rFonts w:ascii="Courier New" w:cs="Courier New" w:eastAsia="Courier New" w:hAnsi="Courier New"/>
          <w:color w:val="1A3A4A"/>
          <w:sz w:val="18"/>
          <w:szCs w:val="18"/>
        </w:rPr>
        <w:t xml:space="preserve">  main.py                    FastAPI app — registers all routers, CORS middleware</w:t>
      </w:r>
    </w:p>
    <w:p>
      <w:pPr>
        <w:pBdr>
          <w:left w:val="single" w:color="0D7377" w:sz="6" w:space="12"/>
        </w:pBdr>
        <w:spacing w:after="40"/>
        <w:ind w:left="720"/>
      </w:pPr>
      <w:r>
        <w:rPr>
          <w:rFonts w:ascii="Courier New" w:cs="Courier New" w:eastAsia="Courier New" w:hAnsi="Courier New"/>
          <w:color w:val="1A3A4A"/>
          <w:sz w:val="18"/>
          <w:szCs w:val="18"/>
        </w:rPr>
        <w:t xml:space="preserve">  llm_client.py              AWS Bedrock wrapper — auth, payload, response parsing</w:t>
      </w:r>
    </w:p>
    <w:p>
      <w:pPr>
        <w:pBdr>
          <w:left w:val="single" w:color="0D7377" w:sz="6" w:space="12"/>
        </w:pBdr>
        <w:spacing w:after="40"/>
        <w:ind w:left="720"/>
      </w:pPr>
      <w:r>
        <w:rPr>
          <w:rFonts w:ascii="Courier New" w:cs="Courier New" w:eastAsia="Courier New" w:hAnsi="Courier New"/>
          <w:color w:val="1A3A4A"/>
          <w:sz w:val="18"/>
          <w:szCs w:val="18"/>
        </w:rPr>
        <w:t xml:space="preserve">  routers/</w:t>
      </w:r>
    </w:p>
    <w:p>
      <w:pPr>
        <w:pBdr>
          <w:left w:val="single" w:color="0D7377" w:sz="6" w:space="12"/>
        </w:pBdr>
        <w:spacing w:after="40"/>
        <w:ind w:left="720"/>
      </w:pPr>
      <w:r>
        <w:rPr>
          <w:rFonts w:ascii="Courier New" w:cs="Courier New" w:eastAsia="Courier New" w:hAnsi="Courier New"/>
          <w:color w:val="1A3A4A"/>
          <w:sz w:val="18"/>
          <w:szCs w:val="18"/>
        </w:rPr>
        <w:t xml:space="preserve">    routers_failure_modes.py     POST /api/dfmea/failure-modes</w:t>
      </w:r>
    </w:p>
    <w:p>
      <w:pPr>
        <w:pBdr>
          <w:left w:val="single" w:color="0D7377" w:sz="6" w:space="12"/>
        </w:pBdr>
        <w:spacing w:after="40"/>
        <w:ind w:left="720"/>
      </w:pPr>
      <w:r>
        <w:rPr>
          <w:rFonts w:ascii="Courier New" w:cs="Courier New" w:eastAsia="Courier New" w:hAnsi="Courier New"/>
          <w:color w:val="1A3A4A"/>
          <w:sz w:val="18"/>
          <w:szCs w:val="18"/>
        </w:rPr>
        <w:t xml:space="preserve">    routers_failure_causes.py    POST /api/dfmea/failure-causes/bulk</w:t>
      </w:r>
    </w:p>
    <w:p>
      <w:pPr>
        <w:pBdr>
          <w:left w:val="single" w:color="0D7377" w:sz="6" w:space="12"/>
        </w:pBdr>
        <w:spacing w:after="40"/>
        <w:ind w:left="720"/>
      </w:pPr>
      <w:r>
        <w:rPr>
          <w:rFonts w:ascii="Courier New" w:cs="Courier New" w:eastAsia="Courier New" w:hAnsi="Courier New"/>
          <w:color w:val="1A3A4A"/>
          <w:sz w:val="18"/>
          <w:szCs w:val="18"/>
        </w:rPr>
        <w:t xml:space="preserve">    routers_failure_effects.py   POST /api/dfmea/failure-effects/bulk</w:t>
      </w:r>
    </w:p>
    <w:p>
      <w:pPr>
        <w:pBdr>
          <w:left w:val="single" w:color="0D7377" w:sz="6" w:space="12"/>
        </w:pBdr>
        <w:spacing w:after="40"/>
        <w:ind w:left="720"/>
      </w:pPr>
      <w:r>
        <w:rPr>
          <w:rFonts w:ascii="Courier New" w:cs="Courier New" w:eastAsia="Courier New" w:hAnsi="Courier New"/>
          <w:color w:val="1A3A4A"/>
          <w:sz w:val="18"/>
          <w:szCs w:val="18"/>
        </w:rPr>
        <w:t xml:space="preserve">    routers_severity.py          POST /api/dfmea/severity-rate/bulk</w:t>
      </w:r>
    </w:p>
    <w:p>
      <w:pPr>
        <w:pBdr>
          <w:left w:val="single" w:color="0D7377" w:sz="6" w:space="12"/>
        </w:pBdr>
        <w:spacing w:after="40"/>
        <w:ind w:left="720"/>
      </w:pPr>
      <w:r>
        <w:rPr>
          <w:rFonts w:ascii="Courier New" w:cs="Courier New" w:eastAsia="Courier New" w:hAnsi="Courier New"/>
          <w:color w:val="1A3A4A"/>
          <w:sz w:val="18"/>
          <w:szCs w:val="18"/>
        </w:rPr>
        <w:t xml:space="preserve">    routers_risk_rating.py       POST /api/dfmea/risk-rating/bulk</w:t>
      </w:r>
    </w:p>
    <w:p>
      <w:pPr>
        <w:pBdr>
          <w:left w:val="single" w:color="0D7377" w:sz="6" w:space="12"/>
        </w:pBdr>
        <w:spacing w:after="40"/>
        <w:ind w:left="720"/>
      </w:pPr>
      <w:r>
        <w:rPr>
          <w:rFonts w:ascii="Courier New" w:cs="Courier New" w:eastAsia="Courier New" w:hAnsi="Courier New"/>
          <w:color w:val="1A3A4A"/>
          <w:sz w:val="18"/>
          <w:szCs w:val="18"/>
        </w:rPr>
        <w:t xml:space="preserve">    routers_auto_rating.py       POST /api/dfmea/auto-rating/bulk</w:t>
      </w:r>
    </w:p>
    <w:p>
      <w:pPr>
        <w:pBdr>
          <w:left w:val="single" w:color="0D7377" w:sz="6" w:space="12"/>
        </w:pBdr>
        <w:spacing w:after="40"/>
        <w:ind w:left="720"/>
      </w:pPr>
      <w:r>
        <w:rPr>
          <w:rFonts w:ascii="Courier New" w:cs="Courier New" w:eastAsia="Courier New" w:hAnsi="Courier New"/>
          <w:color w:val="1A3A4A"/>
          <w:sz w:val="18"/>
          <w:szCs w:val="18"/>
        </w:rPr>
        <w:t xml:space="preserve">    routers_similarity.py        POST /api/dfmea/similarity/suggest</w:t>
      </w:r>
    </w:p>
    <w:p>
      <w:pPr>
        <w:pBdr>
          <w:left w:val="single" w:color="0D7377" w:sz="6" w:space="12"/>
        </w:pBdr>
        <w:spacing w:after="40"/>
        <w:ind w:left="720"/>
      </w:pPr>
      <w:r>
        <w:rPr>
          <w:rFonts w:ascii="Courier New" w:cs="Courier New" w:eastAsia="Courier New" w:hAnsi="Courier New"/>
          <w:color w:val="1A3A4A"/>
          <w:sz w:val="18"/>
          <w:szCs w:val="18"/>
        </w:rPr>
        <w:t xml:space="preserve">    routers_p_diagram.py         POST /api/dfmea/p-diagram/functions</w:t>
      </w:r>
    </w:p>
    <w:p>
      <w:pPr>
        <w:pBdr>
          <w:left w:val="single" w:color="0D7377" w:sz="6" w:space="12"/>
        </w:pBdr>
        <w:spacing w:after="40"/>
        <w:ind w:left="720"/>
      </w:pPr>
      <w:r>
        <w:rPr>
          <w:rFonts w:ascii="Courier New" w:cs="Courier New" w:eastAsia="Courier New" w:hAnsi="Courier New"/>
          <w:color w:val="1A3A4A"/>
          <w:sz w:val="18"/>
          <w:szCs w:val="18"/>
        </w:rPr>
        <w:t xml:space="preserve">    routers_ifmea.py             POST /api/ifmea/interface-causes/bulk</w:t>
      </w:r>
    </w:p>
    <w:p>
      <w:pPr>
        <w:pBdr>
          <w:left w:val="single" w:color="0D7377" w:sz="6" w:space="12"/>
        </w:pBdr>
        <w:spacing w:after="40"/>
        <w:ind w:left="720"/>
      </w:pPr>
      <w:r>
        <w:rPr>
          <w:rFonts w:ascii="Courier New" w:cs="Courier New" w:eastAsia="Courier New" w:hAnsi="Courier New"/>
          <w:color w:val="1A3A4A"/>
          <w:sz w:val="18"/>
          <w:szCs w:val="18"/>
        </w:rPr>
        <w:t xml:space="preserve">                                 POST /api/ifmea/interface-effects/bulk</w:t>
      </w:r>
    </w:p>
    <w:p>
      <w:pPr>
        <w:pBdr>
          <w:left w:val="single" w:color="0D7377" w:sz="6" w:space="12"/>
        </w:pBdr>
        <w:spacing w:after="40"/>
        <w:ind w:left="720"/>
      </w:pPr>
      <w:r>
        <w:rPr>
          <w:rFonts w:ascii="Courier New" w:cs="Courier New" w:eastAsia="Courier New" w:hAnsi="Courier New"/>
          <w:color w:val="1A3A4A"/>
          <w:sz w:val="18"/>
          <w:szCs w:val="18"/>
        </w:rPr>
        <w:t xml:space="preserve">                                 POST /api/ifmea/interface-severity/bulk</w:t>
      </w:r>
    </w:p>
    <w:p>
      <w:pPr>
        <w:pBdr>
          <w:left w:val="single" w:color="0D7377" w:sz="6" w:space="12"/>
        </w:pBdr>
        <w:spacing w:after="40"/>
        <w:ind w:left="720"/>
      </w:pPr>
      <w:r>
        <w:rPr>
          <w:rFonts w:ascii="Courier New" w:cs="Courier New" w:eastAsia="Courier New" w:hAnsi="Courier New"/>
          <w:color w:val="1A3A4A"/>
          <w:sz w:val="18"/>
          <w:szCs w:val="18"/>
        </w:rPr>
        <w:t xml:space="preserve">    routers_import_parse.py      POST /api/dfmea/import/parse</w:t>
      </w:r>
    </w:p>
    <w:p>
      <w:pPr>
        <w:pBdr>
          <w:left w:val="single" w:color="0D7377" w:sz="6" w:space="12"/>
        </w:pBdr>
        <w:spacing w:after="40"/>
        <w:ind w:left="720"/>
      </w:pPr>
      <w:r>
        <w:rPr>
          <w:rFonts w:ascii="Courier New" w:cs="Courier New" w:eastAsia="Courier New" w:hAnsi="Courier New"/>
          <w:color w:val="1A3A4A"/>
          <w:sz w:val="18"/>
          <w:szCs w:val="18"/>
        </w:rPr>
        <w:t xml:space="preserve">    routers_export_template.py   POST /api/dfmea/export/template</w:t>
      </w:r>
    </w:p>
    <w:p>
      <w:pPr>
        <w:pBdr>
          <w:left w:val="single" w:color="0D7377" w:sz="6" w:space="12"/>
        </w:pBdr>
        <w:spacing w:after="40"/>
        <w:ind w:left="720"/>
      </w:pPr>
      <w:r>
        <w:rPr>
          <w:rFonts w:ascii="Courier New" w:cs="Courier New" w:eastAsia="Courier New" w:hAnsi="Courier New"/>
          <w:color w:val="1A3A4A"/>
          <w:sz w:val="18"/>
          <w:szCs w:val="18"/>
        </w:rPr>
        <w:t xml:space="preserve">  dfmea_universal_parser.py      XLSX parser — AIAG-VDA 2019 + legacy Ford/GM formats</w:t>
      </w:r>
    </w:p>
    <w:p>
      <w:pPr>
        <w:pBdr>
          <w:left w:val="single" w:color="0D7377" w:sz="6" w:space="12"/>
        </w:pBdr>
        <w:spacing w:after="40"/>
        <w:ind w:left="720"/>
      </w:pPr>
      <w:r>
        <w:rPr>
          <w:rFonts w:ascii="Courier New" w:cs="Courier New" w:eastAsia="Courier New" w:hAnsi="Courier New"/>
          <w:color w:val="1A3A4A"/>
          <w:sz w:val="18"/>
          <w:szCs w:val="18"/>
        </w:rPr>
        <w:t xml:space="preserve">  dfmea_import_parser.py         Case-specific import logic (Case 2 and Case 3)</w:t>
      </w:r>
    </w:p>
    <w:p>
      <w:pPr>
        <w:pStyle w:val="Heading3"/>
        <w:spacing w:after="100" w:before="240"/>
      </w:pPr>
      <w:r>
        <w:rPr>
          <w:rFonts w:ascii="Arial" w:cs="Arial" w:eastAsia="Arial" w:hAnsi="Arial"/>
          <w:b/>
          <w:bCs/>
          <w:color w:val="0A1628"/>
          <w:sz w:val="22"/>
          <w:szCs w:val="22"/>
        </w:rPr>
        <w:t xml:space="preserve">main.py — FastAPI Application</w:t>
      </w:r>
    </w:p>
    <w:p>
      <w:pPr>
        <w:spacing w:after="160"/>
        <w:jc w:val="both"/>
      </w:pPr>
      <w:r>
        <w:rPr>
          <w:rFonts w:ascii="Arial" w:cs="Arial" w:eastAsia="Arial" w:hAnsi="Arial"/>
          <w:b w:val="false"/>
          <w:bCs w:val="false"/>
          <w:i w:val="false"/>
          <w:iCs w:val="false"/>
          <w:color w:val="000000"/>
          <w:sz w:val="22"/>
          <w:szCs w:val="22"/>
        </w:rPr>
        <w:t xml:space="preserve">The FastAPI application registers all router modules with the prefix /api/dfmea (or /api/ifmea for IFMEA endpoints), adds CORS middleware to allow the Next.js frontend to call it, and exposes a /health endpoint. Running it: uvicorn main:app --reload --port 8000.</w:t>
      </w:r>
    </w:p>
    <w:p>
      <w:pPr>
        <w:pStyle w:val="Heading3"/>
        <w:spacing w:after="100" w:before="240"/>
      </w:pPr>
      <w:r>
        <w:rPr>
          <w:rFonts w:ascii="Arial" w:cs="Arial" w:eastAsia="Arial" w:hAnsi="Arial"/>
          <w:b/>
          <w:bCs/>
          <w:color w:val="0A1628"/>
          <w:sz w:val="22"/>
          <w:szCs w:val="22"/>
        </w:rPr>
        <w:t xml:space="preserve">llm_client.py — AWS Bedrock Wrapper</w:t>
      </w:r>
    </w:p>
    <w:p>
      <w:pPr>
        <w:spacing w:after="160"/>
        <w:jc w:val="both"/>
      </w:pPr>
      <w:r>
        <w:rPr>
          <w:rFonts w:ascii="Arial" w:cs="Arial" w:eastAsia="Arial" w:hAnsi="Arial"/>
          <w:b w:val="false"/>
          <w:bCs w:val="false"/>
          <w:i w:val="false"/>
          <w:iCs w:val="false"/>
          <w:color w:val="000000"/>
          <w:sz w:val="22"/>
          <w:szCs w:val="22"/>
        </w:rPr>
        <w:t xml:space="preserve">A thin wrapper around the AWS Bedrock runtime. All LLM calls in the router files go through a single llm.generate(prompt, max_tokens) function. Internally it POST-requests the Bedrock model endpoint with the Anthropic Messages format, handles authentication via environment variable BEDROCK_API_KEY, and returns the text of the first content block. Temperature: 0.3 for generation calls, 0.1 for rating calls.</w:t>
      </w:r>
    </w:p>
    <w:p>
      <w:pPr>
        <w:pBdr>
          <w:left w:val="single" w:color="0D7377" w:sz="6" w:space="12"/>
        </w:pBdr>
        <w:spacing w:after="40"/>
        <w:ind w:left="720"/>
      </w:pPr>
      <w:r>
        <w:rPr>
          <w:rFonts w:ascii="Courier New" w:cs="Courier New" w:eastAsia="Courier New" w:hAnsi="Courier New"/>
          <w:color w:val="1A3A4A"/>
          <w:sz w:val="18"/>
          <w:szCs w:val="18"/>
        </w:rPr>
        <w:t xml:space="preserve">Endpoint: https://bedrock-runtime.ap-south-1.amazonaws.com/</w:t>
      </w:r>
    </w:p>
    <w:p>
      <w:pPr>
        <w:pBdr>
          <w:left w:val="single" w:color="0D7377" w:sz="6" w:space="12"/>
        </w:pBdr>
        <w:spacing w:after="40"/>
        <w:ind w:left="720"/>
      </w:pPr>
      <w:r>
        <w:rPr>
          <w:rFonts w:ascii="Courier New" w:cs="Courier New" w:eastAsia="Courier New" w:hAnsi="Courier New"/>
          <w:color w:val="1A3A4A"/>
          <w:sz w:val="18"/>
          <w:szCs w:val="18"/>
        </w:rPr>
        <w:t xml:space="preserve">Model:    anthropic.claude-3-5-sonnet-20241022-v2:0</w:t>
      </w:r>
    </w:p>
    <w:p>
      <w:pPr>
        <w:pStyle w:val="Heading3"/>
        <w:spacing w:after="100" w:before="240"/>
      </w:pPr>
      <w:r>
        <w:rPr>
          <w:rFonts w:ascii="Arial" w:cs="Arial" w:eastAsia="Arial" w:hAnsi="Arial"/>
          <w:b/>
          <w:bCs/>
          <w:color w:val="0A1628"/>
          <w:sz w:val="22"/>
          <w:szCs w:val="22"/>
        </w:rPr>
        <w:t xml:space="preserve">routers_failure_causes.py — The Core Cause Generation Router</w:t>
      </w:r>
    </w:p>
    <w:p>
      <w:pPr>
        <w:spacing w:after="160"/>
        <w:jc w:val="both"/>
      </w:pPr>
      <w:r>
        <w:rPr>
          <w:rFonts w:ascii="Arial" w:cs="Arial" w:eastAsia="Arial" w:hAnsi="Arial"/>
          <w:b w:val="false"/>
          <w:bCs w:val="false"/>
          <w:i w:val="false"/>
          <w:iCs w:val="false"/>
          <w:color w:val="000000"/>
          <w:sz w:val="22"/>
          <w:szCs w:val="22"/>
        </w:rPr>
        <w:t xml:space="preserve">The most important router in the system. It receives a bulk request containing the focus element, focus function, all selected failure modes, all connected lower-level elements and functions, and the full P-Diagram noise factor dictionary. For each (failure mode × lower function × noise factor) triple it makes one LLM call and expects one sentence describing how that specific noise factor degrades that specific lower-level element to produce that failure mode.</w:t>
      </w:r>
    </w:p>
    <w:p>
      <w:pPr>
        <w:pBdr>
          <w:left w:val="single" w:color="0D7377" w:sz="8" w:space="12"/>
        </w:pBdr>
        <w:shd w:fill="E8F4F8" w:val="clear"/>
        <w:spacing w:after="200" w:before="80"/>
        <w:ind w:left="360"/>
      </w:pPr>
      <w:r>
        <w:rPr>
          <w:rFonts w:ascii="Arial" w:cs="Arial" w:eastAsia="Arial" w:hAnsi="Arial"/>
          <w:b/>
          <w:bCs/>
          <w:color w:val="0D7377"/>
          <w:sz w:val="20"/>
          <w:szCs w:val="20"/>
        </w:rPr>
        <w:t xml:space="preserve">Core Principle  </w:t>
      </w:r>
      <w:r>
        <w:rPr>
          <w:rFonts w:ascii="Arial" w:cs="Arial" w:eastAsia="Arial" w:hAnsi="Arial"/>
          <w:i/>
          <w:iCs/>
          <w:sz w:val="20"/>
          <w:szCs w:val="20"/>
        </w:rPr>
        <w:t xml:space="preserve">Every failure cause is noise-driven. The noise factor IS the root cause. The LLM describes the physical degradation mechanism — not a generic cause.</w:t>
      </w:r>
    </w:p>
    <w:p>
      <w:pPr>
        <w:pStyle w:val="Heading3"/>
        <w:spacing w:after="100" w:before="240"/>
      </w:pPr>
      <w:r>
        <w:rPr>
          <w:rFonts w:ascii="Arial" w:cs="Arial" w:eastAsia="Arial" w:hAnsi="Arial"/>
          <w:b/>
          <w:bCs/>
          <w:color w:val="0A1628"/>
          <w:sz w:val="22"/>
          <w:szCs w:val="22"/>
        </w:rPr>
        <w:t xml:space="preserve">routers_similarity.py — Function Connection Suggestion</w:t>
      </w:r>
    </w:p>
    <w:p>
      <w:pPr>
        <w:spacing w:after="160"/>
        <w:jc w:val="both"/>
      </w:pPr>
      <w:r>
        <w:rPr>
          <w:rFonts w:ascii="Arial" w:cs="Arial" w:eastAsia="Arial" w:hAnsi="Arial"/>
          <w:b w:val="false"/>
          <w:bCs w:val="false"/>
          <w:i w:val="false"/>
          <w:iCs w:val="false"/>
          <w:color w:val="000000"/>
          <w:sz w:val="22"/>
          <w:szCs w:val="22"/>
        </w:rPr>
        <w:t xml:space="preserve">Replaced the V1 embedding approach with an LLM-based numbered-list approach. Functions are passed as a numbered list (1. [Element] Function name). The LLM is asked to return index numbers of related functions (e.g., '2, 5' or 'NONE'). The backend maps indices back to real IDs server-side. This avoids the ID hallucination problem where the LLM would return plausible-looking random IDs that matched nothing.</w:t>
      </w:r>
    </w:p>
    <w:p>
      <w:pPr>
        <w:pStyle w:val="Heading3"/>
        <w:spacing w:after="100" w:before="240"/>
      </w:pPr>
      <w:r>
        <w:rPr>
          <w:rFonts w:ascii="Arial" w:cs="Arial" w:eastAsia="Arial" w:hAnsi="Arial"/>
          <w:b/>
          <w:bCs/>
          <w:color w:val="0A1628"/>
          <w:sz w:val="22"/>
          <w:szCs w:val="22"/>
        </w:rPr>
        <w:t xml:space="preserve">routers_auto_rating.py — Auto Risk Rating</w:t>
      </w:r>
    </w:p>
    <w:p>
      <w:pPr>
        <w:spacing w:after="160"/>
        <w:jc w:val="both"/>
      </w:pPr>
      <w:r>
        <w:rPr>
          <w:rFonts w:ascii="Arial" w:cs="Arial" w:eastAsia="Arial" w:hAnsi="Arial"/>
          <w:b w:val="false"/>
          <w:bCs w:val="false"/>
          <w:i w:val="false"/>
          <w:iCs w:val="false"/>
          <w:color w:val="000000"/>
          <w:sz w:val="22"/>
          <w:szCs w:val="22"/>
        </w:rPr>
        <w:t xml:space="preserve">Accepts a batch of causes and returns AIAG-VDA-calibrated Occurrence (O) and Detection (D) answer keys for each. Every cause context (failure mode, lower element and function, noise factor, prevention and detection controls) is sent alongside the full AIAG-VDA qualitative rubric. The LLM returns structured JSON with occurrence_answer and detection_answer keys matching the frontend's OptionPills values, plus one-sentence justifications. Severity is never auto-assigned.</w:t>
      </w:r>
    </w:p>
    <w:p>
      <w:pPr>
        <w:pStyle w:val="Heading3"/>
        <w:spacing w:after="100" w:before="240"/>
      </w:pPr>
      <w:r>
        <w:rPr>
          <w:rFonts w:ascii="Arial" w:cs="Arial" w:eastAsia="Arial" w:hAnsi="Arial"/>
          <w:b/>
          <w:bCs/>
          <w:color w:val="0A1628"/>
          <w:sz w:val="22"/>
          <w:szCs w:val="22"/>
        </w:rPr>
        <w:t xml:space="preserve">routers_ifmea.py — Interface FMEA Endpoints</w:t>
      </w:r>
    </w:p>
    <w:p>
      <w:pPr>
        <w:spacing w:after="160"/>
        <w:jc w:val="both"/>
      </w:pPr>
      <w:r>
        <w:rPr>
          <w:rFonts w:ascii="Arial" w:cs="Arial" w:eastAsia="Arial" w:hAnsi="Arial"/>
          <w:b w:val="false"/>
          <w:bCs w:val="false"/>
          <w:i w:val="false"/>
          <w:iCs w:val="false"/>
          <w:color w:val="000000"/>
          <w:sz w:val="22"/>
          <w:szCs w:val="22"/>
        </w:rPr>
        <w:t xml:space="preserve">Three endpoints handle the IFMEA (Interface Failure Mode and Effects Analysis) analysis. Unlike DFMEA which analyses failures inside components, IFMEA analyses failures in the interfaces between components — connectors, couplings, seals, signal paths. Failure modes are reused from the DFMEA (same functional failures, different causal path). Causes describe degradation in the interface mechanism itself (fretting, corrosion, seal swelling, signal corruption) driven by noise factors. Effects are stated in terms of impact on the higher-level element's specific functions.</w:t>
      </w:r>
    </w:p>
    <w:p>
      <w:pPr>
        <w:pStyle w:val="Heading3"/>
        <w:spacing w:after="100" w:before="240"/>
      </w:pPr>
      <w:r>
        <w:rPr>
          <w:rFonts w:ascii="Arial" w:cs="Arial" w:eastAsia="Arial" w:hAnsi="Arial"/>
          <w:b/>
          <w:bCs/>
          <w:color w:val="0A1628"/>
          <w:sz w:val="22"/>
          <w:szCs w:val="22"/>
        </w:rPr>
        <w:t xml:space="preserve">dfmea_universal_parser.py — XLSX Import Parser</w:t>
      </w:r>
    </w:p>
    <w:p>
      <w:pPr>
        <w:spacing w:after="160"/>
        <w:jc w:val="both"/>
      </w:pPr>
      <w:r>
        <w:rPr>
          <w:rFonts w:ascii="Arial" w:cs="Arial" w:eastAsia="Arial" w:hAnsi="Arial"/>
          <w:b w:val="false"/>
          <w:bCs w:val="false"/>
          <w:i w:val="false"/>
          <w:iCs w:val="false"/>
          <w:color w:val="000000"/>
          <w:sz w:val="22"/>
          <w:szCs w:val="22"/>
        </w:rPr>
        <w:t xml:space="preserve">Handles two major DFMEA spreadsheet formats: AIAG-VDA 2019 (explicit higher/focus/lower columns, function columns per level) and Legacy Ford/GM/Chrysler (single 'Item/Function' merged-cell column, 'Requirement' column, numbered cause entries). Format detection is automatic via column header keyword fingerprinting. The AIAG-VDA format uses direct column mapping; the Legacy format uses LLM extraction for higher-element inference, lower-element name extraction from numbered cause text, and function derivation.</w:t>
      </w:r>
    </w:p>
    <w:p>
      <w:pPr>
        <w:pStyle w:val="Heading3"/>
        <w:spacing w:after="100" w:before="240"/>
      </w:pPr>
      <w:r>
        <w:rPr>
          <w:rFonts w:ascii="Arial" w:cs="Arial" w:eastAsia="Arial" w:hAnsi="Arial"/>
          <w:b/>
          <w:bCs/>
          <w:color w:val="0A1628"/>
          <w:sz w:val="22"/>
          <w:szCs w:val="22"/>
        </w:rPr>
        <w:t xml:space="preserve">DFMEAWizard_updated.tsx — The 10-Step Frontend Wizard</w:t>
      </w:r>
    </w:p>
    <w:p>
      <w:pPr>
        <w:spacing w:after="160"/>
        <w:jc w:val="both"/>
      </w:pPr>
      <w:r>
        <w:rPr>
          <w:rFonts w:ascii="Arial" w:cs="Arial" w:eastAsia="Arial" w:hAnsi="Arial"/>
          <w:b w:val="false"/>
          <w:bCs w:val="false"/>
          <w:i w:val="false"/>
          <w:iCs w:val="false"/>
          <w:color w:val="000000"/>
          <w:sz w:val="22"/>
          <w:szCs w:val="22"/>
        </w:rPr>
        <w:t xml:space="preserve">The entire frontend wizard is in this single file (approximately 3,200 lines of TypeScript/React). It manages all state with React useState hooks lifted to the top-level DFMEAWizard component, renders one step at a time, and communicates with the backend via fetch() calls. The wizard accepts an optional initialState prop (provided by DFMEALauncher for Cases 2 and 3) that pre-populates elements, functions, and noise factors from a parsed import.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1620"/>
        <w:gridCol w:w="3240"/>
        <w:gridCol w:w="3960"/>
      </w:tblGrid>
      <w:tr>
        <w:trPr>
          <w:tblHeader/>
        </w:trPr>
        <w:tc>
          <w:tcPr>
            <w:tcW w:type="dxa" w:w="54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W w:type="dxa" w:w="162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w:t>
            </w:r>
          </w:p>
        </w:tc>
        <w:tc>
          <w:tcPr>
            <w:tcW w:type="dxa" w:w="324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State</w:t>
            </w:r>
          </w:p>
        </w:tc>
        <w:tc>
          <w:tcPr>
            <w:tcW w:type="dxa" w:w="39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Backend Calls</w:t>
            </w:r>
          </w:p>
        </w:tc>
      </w:tr>
      <w:tr>
        <w:tc>
          <w:tcPr>
            <w:tcW w:type="dxa" w:w="5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0</w:t>
            </w:r>
          </w:p>
        </w:tc>
        <w:tc>
          <w:tcPr>
            <w:tcW w:type="dxa" w:w="16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Elements</w:t>
            </w:r>
          </w:p>
        </w:tc>
        <w:tc>
          <w:tcPr>
            <w:tcW w:type="dxa" w:w="32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lowerElements[], focusElement, higherElements[]</w:t>
            </w:r>
          </w:p>
        </w:tc>
        <w:tc>
          <w:tcPr>
            <w:tcW w:type="dxa" w:w="3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None</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16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B-Diagram</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bConns[] (lifted — also used by IFMEA)</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None</w:t>
            </w:r>
          </w:p>
        </w:tc>
      </w:tr>
      <w:tr>
        <w:tc>
          <w:tcPr>
            <w:tcW w:type="dxa" w:w="5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2</w:t>
            </w:r>
          </w:p>
        </w:tc>
        <w:tc>
          <w:tcPr>
            <w:tcW w:type="dxa" w:w="16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IFMEA</w:t>
            </w:r>
          </w:p>
        </w:tc>
        <w:tc>
          <w:tcPr>
            <w:tcW w:type="dxa" w:w="32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ifmeaInterfaces[], ifmeaCauseGroups[], ifmeaRows[]</w:t>
            </w:r>
          </w:p>
        </w:tc>
        <w:tc>
          <w:tcPr>
            <w:tcW w:type="dxa" w:w="3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interface-causes, interface-effects, interface-severity</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16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Functions</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functions[]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None</w:t>
            </w:r>
          </w:p>
        </w:tc>
      </w:tr>
      <w:tr>
        <w:tc>
          <w:tcPr>
            <w:tcW w:type="dxa" w:w="5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4</w:t>
            </w:r>
          </w:p>
        </w:tc>
        <w:tc>
          <w:tcPr>
            <w:tcW w:type="dxa" w:w="16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P-Diagram</w:t>
            </w:r>
          </w:p>
        </w:tc>
        <w:tc>
          <w:tcPr>
            <w:tcW w:type="dxa" w:w="32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pDiagram (noise categories)</w:t>
            </w:r>
          </w:p>
        </w:tc>
        <w:tc>
          <w:tcPr>
            <w:tcW w:type="dxa" w:w="3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None</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16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Connections</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connections (focus_to_lower, focus_to_higher)</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similarity/suggest</w:t>
            </w:r>
          </w:p>
        </w:tc>
      </w:tr>
      <w:tr>
        <w:tc>
          <w:tcPr>
            <w:tcW w:type="dxa" w:w="5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6</w:t>
            </w:r>
          </w:p>
        </w:tc>
        <w:tc>
          <w:tcPr>
            <w:tcW w:type="dxa" w:w="16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Failure Modes</w:t>
            </w:r>
          </w:p>
        </w:tc>
        <w:tc>
          <w:tcPr>
            <w:tcW w:type="dxa" w:w="32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modesByFocus (Map: focus_fn_id → selected modes)</w:t>
            </w:r>
          </w:p>
        </w:tc>
        <w:tc>
          <w:tcPr>
            <w:tcW w:type="dxa" w:w="3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failure-modes</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w:t>
            </w:r>
          </w:p>
        </w:tc>
        <w:tc>
          <w:tcPr>
            <w:tcW w:type="dxa" w:w="16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Failure Causes</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causeGroups[] (groups of CauseItems)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failure-causes/bulk</w:t>
            </w:r>
          </w:p>
        </w:tc>
      </w:tr>
      <w:tr>
        <w:tc>
          <w:tcPr>
            <w:tcW w:type="dxa" w:w="5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8</w:t>
            </w:r>
          </w:p>
        </w:tc>
        <w:tc>
          <w:tcPr>
            <w:tcW w:type="dxa" w:w="16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Risk Rating</w:t>
            </w:r>
          </w:p>
        </w:tc>
        <w:tc>
          <w:tcPr>
            <w:tcW w:type="dxa" w:w="32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causeGroups with O/D answers</w:t>
            </w:r>
          </w:p>
        </w:tc>
        <w:tc>
          <w:tcPr>
            <w:tcW w:type="dxa" w:w="3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auto-rating/bulk</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w:t>
            </w:r>
          </w:p>
        </w:tc>
        <w:tc>
          <w:tcPr>
            <w:tcW w:type="dxa" w:w="16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Review &amp; Export</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rows[] (DFMEARow[]), ifmeaRows[]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failure-effects/bulk, severity-rate/bulk, export/template</w:t>
            </w:r>
          </w:p>
        </w:tc>
      </w:tr>
    </w:tbl>
    <w:p>
      <w:pPr>
        <w:spacing w:after="180"/>
      </w:pPr>
      <w:r>
        <w:t xml:space="preserve"/>
      </w:r>
    </w:p>
    <w:p>
      <w:r>
        <w:br w:type="page"/>
      </w:r>
    </w:p>
    <w:p>
      <w:pPr>
        <w:pStyle w:val="Heading2"/>
        <w:spacing w:after="160" w:before="320"/>
      </w:pPr>
      <w:r>
        <w:rPr>
          <w:rFonts w:ascii="Arial" w:cs="Arial" w:eastAsia="Arial" w:hAnsi="Arial"/>
          <w:b/>
          <w:bCs/>
          <w:color w:val="0D7377"/>
          <w:sz w:val="26"/>
          <w:szCs w:val="26"/>
        </w:rPr>
        <w:t xml:space="preserve">4.5 The IFMEA Module</w:t>
      </w:r>
    </w:p>
    <w:p>
      <w:pPr>
        <w:spacing w:after="160"/>
        <w:jc w:val="both"/>
      </w:pPr>
      <w:r>
        <w:rPr>
          <w:rFonts w:ascii="Arial" w:cs="Arial" w:eastAsia="Arial" w:hAnsi="Arial"/>
          <w:b w:val="false"/>
          <w:bCs w:val="false"/>
          <w:i w:val="false"/>
          <w:iCs w:val="false"/>
          <w:color w:val="000000"/>
          <w:sz w:val="22"/>
          <w:szCs w:val="22"/>
        </w:rPr>
        <w:t xml:space="preserve">The IFMEA module is integrated into Step 2 of the wizard and runs in four phases per B-diagram connection:</w:t>
      </w:r>
    </w:p>
    <w:p>
      <w:pPr>
        <w:pStyle w:val="Heading3"/>
        <w:spacing w:after="100" w:before="240"/>
      </w:pPr>
      <w:r>
        <w:rPr>
          <w:rFonts w:ascii="Arial" w:cs="Arial" w:eastAsia="Arial" w:hAnsi="Arial"/>
          <w:b/>
          <w:bCs/>
          <w:color w:val="0A1628"/>
          <w:sz w:val="22"/>
          <w:szCs w:val="22"/>
        </w:rPr>
        <w:t xml:space="preserve">Phase 0 — Interface Matrix</w:t>
      </w:r>
    </w:p>
    <w:p>
      <w:pPr>
        <w:spacing w:after="160"/>
        <w:jc w:val="both"/>
      </w:pPr>
      <w:r>
        <w:rPr>
          <w:rFonts w:ascii="Arial" w:cs="Arial" w:eastAsia="Arial" w:hAnsi="Arial"/>
          <w:b w:val="false"/>
          <w:bCs w:val="false"/>
          <w:i w:val="false"/>
          <w:iCs w:val="false"/>
          <w:color w:val="000000"/>
          <w:sz w:val="22"/>
          <w:szCs w:val="22"/>
        </w:rPr>
        <w:t xml:space="preserve">An N×N grid of all elements (lower, focus, higher, plus Environment). Each off-diagonal cell has four dropdowns — one per connection type P/E/I/M — rated from -2 to +2. Rating -2 means the interaction must be prevented; +2 means it is necessary for function. Cells rated -2 automatically surface in a Critical Interfaces panel. The matrix is exported as CSV.</w:t>
      </w:r>
    </w:p>
    <w:p>
      <w:pPr>
        <w:pStyle w:val="Heading3"/>
        <w:spacing w:after="100" w:before="240"/>
      </w:pPr>
      <w:r>
        <w:rPr>
          <w:rFonts w:ascii="Arial" w:cs="Arial" w:eastAsia="Arial" w:hAnsi="Arial"/>
          <w:b/>
          <w:bCs/>
          <w:color w:val="0A1628"/>
          <w:sz w:val="22"/>
          <w:szCs w:val="22"/>
        </w:rPr>
        <w:t xml:space="preserve">Phase 1 — Set Up Interfaces</w:t>
      </w:r>
    </w:p>
    <w:p>
      <w:pPr>
        <w:spacing w:after="160"/>
        <w:jc w:val="both"/>
      </w:pPr>
      <w:r>
        <w:rPr>
          <w:rFonts w:ascii="Arial" w:cs="Arial" w:eastAsia="Arial" w:hAnsi="Arial"/>
          <w:b w:val="false"/>
          <w:bCs w:val="false"/>
          <w:i w:val="false"/>
          <w:iCs w:val="false"/>
          <w:color w:val="000000"/>
          <w:sz w:val="22"/>
          <w:szCs w:val="22"/>
        </w:rPr>
        <w:t xml:space="preserve">For each B-diagram connection: the engineer describes what is nominally transferred through that interface (e.g., 'drive torque 0-2000 Nm at 0-3000 rpm'), selects which focus functions the interface supports (multi-select), and checks which DFMEA failure modes from Step 6 apply to this interface. No new modes are generated — the DFMEA modes are reused directly.</w:t>
      </w:r>
    </w:p>
    <w:p>
      <w:pPr>
        <w:pStyle w:val="Heading3"/>
        <w:spacing w:after="100" w:before="240"/>
      </w:pPr>
      <w:r>
        <w:rPr>
          <w:rFonts w:ascii="Arial" w:cs="Arial" w:eastAsia="Arial" w:hAnsi="Arial"/>
          <w:b/>
          <w:bCs/>
          <w:color w:val="0A1628"/>
          <w:sz w:val="22"/>
          <w:szCs w:val="22"/>
        </w:rPr>
        <w:t xml:space="preserve">Phase 2 — Generate Interface Causes</w:t>
      </w:r>
    </w:p>
    <w:p>
      <w:pPr>
        <w:spacing w:after="160"/>
        <w:jc w:val="both"/>
      </w:pPr>
      <w:r>
        <w:rPr>
          <w:rFonts w:ascii="Arial" w:cs="Arial" w:eastAsia="Arial" w:hAnsi="Arial"/>
          <w:b w:val="false"/>
          <w:bCs w:val="false"/>
          <w:i w:val="false"/>
          <w:iCs w:val="false"/>
          <w:color w:val="000000"/>
          <w:sz w:val="22"/>
          <w:szCs w:val="22"/>
        </w:rPr>
        <w:t xml:space="preserve">For each (selected failure mode × noise factor) combination, one LLM call generates one interface-mechanism cause. The cause must describe degradation in the interface itself — fretting at a spline coupling, corrosion at a connector, swelling of a hydraulic seal, EMI bit errors in a CAN signal — not a failure inside either connected element.</w:t>
      </w:r>
    </w:p>
    <w:p>
      <w:pPr>
        <w:pStyle w:val="Heading3"/>
        <w:spacing w:after="100" w:before="240"/>
      </w:pPr>
      <w:r>
        <w:rPr>
          <w:rFonts w:ascii="Arial" w:cs="Arial" w:eastAsia="Arial" w:hAnsi="Arial"/>
          <w:b/>
          <w:bCs/>
          <w:color w:val="0A1628"/>
          <w:sz w:val="22"/>
          <w:szCs w:val="22"/>
        </w:rPr>
        <w:t xml:space="preserve">Phase 3 — Rate &amp; Build</w:t>
      </w:r>
    </w:p>
    <w:p>
      <w:pPr>
        <w:spacing w:after="160"/>
        <w:jc w:val="both"/>
      </w:pPr>
      <w:r>
        <w:rPr>
          <w:rFonts w:ascii="Arial" w:cs="Arial" w:eastAsia="Arial" w:hAnsi="Arial"/>
          <w:b w:val="false"/>
          <w:bCs w:val="false"/>
          <w:i w:val="false"/>
          <w:iCs w:val="false"/>
          <w:color w:val="000000"/>
          <w:sz w:val="22"/>
          <w:szCs w:val="22"/>
        </w:rPr>
        <w:t xml:space="preserve">The engineer sets Occurrence and Detection for each interface cause (or uses Auto-assign). Clicking 'Build IFMEA rows' calls the effects and severity endpoints: effects are stated in terms of impact on the higher-level element's specific functions (not a generic 'interface fails'), and severity is calibrated against function criticality.</w:t>
      </w:r>
    </w:p>
    <w:p>
      <w:pPr>
        <w:pStyle w:val="Heading2"/>
        <w:spacing w:after="160" w:before="320"/>
      </w:pPr>
      <w:r>
        <w:rPr>
          <w:rFonts w:ascii="Arial" w:cs="Arial" w:eastAsia="Arial" w:hAnsi="Arial"/>
          <w:b/>
          <w:bCs/>
          <w:color w:val="0D7377"/>
          <w:sz w:val="26"/>
          <w:szCs w:val="26"/>
        </w:rPr>
        <w:t xml:space="preserve">4.6 Three Import Modes</w:t>
      </w:r>
    </w:p>
    <w:p>
      <w:pPr>
        <w:spacing w:after="160"/>
        <w:jc w:val="both"/>
      </w:pPr>
      <w:r>
        <w:rPr>
          <w:rFonts w:ascii="Arial" w:cs="Arial" w:eastAsia="Arial" w:hAnsi="Arial"/>
          <w:b w:val="false"/>
          <w:bCs w:val="false"/>
          <w:i w:val="false"/>
          <w:iCs w:val="false"/>
          <w:color w:val="000000"/>
          <w:sz w:val="22"/>
          <w:szCs w:val="22"/>
        </w:rPr>
        <w:t xml:space="preserve">The DFMEALauncher screen presents three mode options before the wizard starts: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520"/>
        <w:gridCol w:w="2520"/>
        <w:gridCol w:w="2160"/>
      </w:tblGrid>
      <w:tr>
        <w:trPr>
          <w:tblHeader/>
        </w:trPr>
        <w:tc>
          <w:tcPr>
            <w:tcW w:type="dxa" w:w="21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w:t>
            </w:r>
          </w:p>
        </w:tc>
        <w:tc>
          <w:tcPr>
            <w:tcW w:type="dxa" w:w="252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When to Use</w:t>
            </w:r>
          </w:p>
        </w:tc>
        <w:tc>
          <w:tcPr>
            <w:tcW w:type="dxa" w:w="252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Pre-filled by Import</w:t>
            </w:r>
          </w:p>
        </w:tc>
        <w:tc>
          <w:tcPr>
            <w:tcW w:type="dxa" w:w="21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Engineer Does</w:t>
            </w:r>
          </w:p>
        </w:tc>
      </w:tr>
      <w:tr>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Case 1 — New Design</w:t>
            </w:r>
          </w:p>
        </w:tc>
        <w:tc>
          <w:tcPr>
            <w:tcW w:type="dxa" w:w="25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Completely new component with no prior DFMEA</w:t>
            </w:r>
          </w:p>
        </w:tc>
        <w:tc>
          <w:tcPr>
            <w:tcW w:type="dxa" w:w="25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Nothing — blank start</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All 10 wizard steps from scratch</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Case 2 — New Use Case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Same design, different operating environment (e.g., export to salt pan region)</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Element names, all functions, old noise factors shown for reference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Enter new noise factors → regenerate causes</w:t>
            </w:r>
          </w:p>
        </w:tc>
      </w:tr>
      <w:tr>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Case 3 — Design Change</w:t>
            </w:r>
          </w:p>
        </w:tc>
        <w:tc>
          <w:tcPr>
            <w:tcW w:type="dxa" w:w="25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Modified component, same environment (e.g., new alloy for axle housing)</w:t>
            </w:r>
          </w:p>
        </w:tc>
        <w:tc>
          <w:tcPr>
            <w:tcW w:type="dxa" w:w="25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Element names, all functions, noise factors retained</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Re-draw B-diagram connections → regenerate modes and causes</w:t>
            </w:r>
          </w:p>
        </w:tc>
      </w:tr>
    </w:tbl>
    <w:p>
      <w:pPr>
        <w:spacing w:after="180"/>
      </w:pPr>
      <w:r>
        <w:t xml:space="preserve"/>
      </w:r>
    </w:p>
    <w:p>
      <w:r>
        <w:br w:type="page"/>
      </w:r>
    </w:p>
    <w:p>
      <w:pPr>
        <w:pStyle w:val="Heading1"/>
        <w:spacing w:after="220" w:before="480"/>
      </w:pPr>
      <w:r>
        <w:rPr>
          <w:rFonts w:ascii="Arial" w:cs="Arial" w:eastAsia="Arial" w:hAnsi="Arial"/>
          <w:b/>
          <w:bCs/>
          <w:color w:val="0A1628"/>
          <w:sz w:val="32"/>
          <w:szCs w:val="32"/>
        </w:rPr>
        <w:t xml:space="preserve">5. Results</w:t>
      </w:r>
    </w:p>
    <w:p>
      <w:pPr>
        <w:spacing w:after="160"/>
        <w:jc w:val="both"/>
      </w:pPr>
      <w:r>
        <w:rPr>
          <w:rFonts w:ascii="Arial" w:cs="Arial" w:eastAsia="Arial" w:hAnsi="Arial"/>
          <w:b w:val="false"/>
          <w:bCs w:val="false"/>
          <w:i w:val="false"/>
          <w:iCs w:val="false"/>
          <w:color w:val="000000"/>
          <w:sz w:val="22"/>
          <w:szCs w:val="22"/>
        </w:rPr>
        <w:t xml:space="preserve">The DFMEA generator was run on three real Ashok Leyland sub-systems to validate its output quality and completeness. Each run produced a full DFMEA and IFMEA. The sub-systems chosen represent different mechanical complexity and failure mode distributions: a precision mechanical assembly (Gearbox), an electrical/mechanical hybrid system (Starting System), and a pure electrical connectivity system (Wiring Harness).</w:t>
      </w:r>
    </w:p>
    <w:p>
      <w:pPr>
        <w:pStyle w:val="Heading2"/>
        <w:spacing w:after="160" w:before="320"/>
      </w:pPr>
      <w:r>
        <w:rPr>
          <w:rFonts w:ascii="Arial" w:cs="Arial" w:eastAsia="Arial" w:hAnsi="Arial"/>
          <w:b/>
          <w:bCs/>
          <w:color w:val="0D7377"/>
          <w:sz w:val="26"/>
          <w:szCs w:val="26"/>
        </w:rPr>
        <w:t xml:space="preserve">5.1 Gearbox DFMEA</w:t>
      </w:r>
    </w:p>
    <w:p>
      <w:pPr>
        <w:pStyle w:val="Heading3"/>
        <w:spacing w:after="100" w:before="240"/>
      </w:pPr>
      <w:r>
        <w:rPr>
          <w:rFonts w:ascii="Arial" w:cs="Arial" w:eastAsia="Arial" w:hAnsi="Arial"/>
          <w:b/>
          <w:bCs/>
          <w:color w:val="0A1628"/>
          <w:sz w:val="22"/>
          <w:szCs w:val="22"/>
        </w:rPr>
        <w:t xml:space="preserve">System Context</w:t>
      </w:r>
    </w:p>
    <w:p>
      <w:pPr>
        <w:spacing w:after="160"/>
        <w:jc w:val="both"/>
      </w:pPr>
      <w:r>
        <w:rPr>
          <w:rFonts w:ascii="Arial" w:cs="Arial" w:eastAsia="Arial" w:hAnsi="Arial"/>
          <w:b w:val="false"/>
          <w:bCs w:val="false"/>
          <w:i w:val="false"/>
          <w:iCs w:val="false"/>
          <w:color w:val="000000"/>
          <w:sz w:val="22"/>
          <w:szCs w:val="22"/>
        </w:rPr>
        <w:t xml:space="preserve">The Gearbox is the focus element within the Drivetrain domain. The higher-level element is the Powertrain System; the lower-level elements include the gear set (input, countershaft, output gears), synchroniser assemblies, selector forks, the gear housing, and the lubrication system. The gearbox must transmit torque across multiple gear ratios while protecting all internal components from wear, contamination, and thermal degradation.</w:t>
      </w:r>
    </w:p>
    <w:p>
      <w:pPr>
        <w:pStyle w:val="Heading3"/>
        <w:spacing w:after="100" w:before="240"/>
      </w:pPr>
      <w:r>
        <w:rPr>
          <w:rFonts w:ascii="Arial" w:cs="Arial" w:eastAsia="Arial" w:hAnsi="Arial"/>
          <w:b/>
          <w:bCs/>
          <w:color w:val="0A1628"/>
          <w:sz w:val="22"/>
          <w:szCs w:val="22"/>
        </w:rPr>
        <w:t xml:space="preserve">Focus Functions Analysed</w:t>
      </w:r>
    </w:p>
    <w:p>
      <w:pPr>
        <w:pStyle w:val="ListParagraph"/>
        <w:numPr>
          <w:ilvl w:val="0"/>
          <w:numId w:val="2"/>
        </w:numPr>
        <w:spacing w:after="80"/>
      </w:pPr>
      <w:r>
        <w:rPr>
          <w:rFonts w:ascii="Arial" w:cs="Arial" w:eastAsia="Arial" w:hAnsi="Arial"/>
          <w:sz w:val="22"/>
          <w:szCs w:val="22"/>
        </w:rPr>
        <w:t xml:space="preserve">Transmit torque from input shaft to output shaft at selected gear ratio</w:t>
      </w:r>
    </w:p>
    <w:p>
      <w:pPr>
        <w:pStyle w:val="ListParagraph"/>
        <w:numPr>
          <w:ilvl w:val="0"/>
          <w:numId w:val="2"/>
        </w:numPr>
        <w:spacing w:after="80"/>
      </w:pPr>
      <w:r>
        <w:rPr>
          <w:rFonts w:ascii="Arial" w:cs="Arial" w:eastAsia="Arial" w:hAnsi="Arial"/>
          <w:sz w:val="22"/>
          <w:szCs w:val="22"/>
        </w:rPr>
        <w:t xml:space="preserve">Enable smooth gear ratio changes via synchronisation</w:t>
      </w:r>
    </w:p>
    <w:p>
      <w:pPr>
        <w:pStyle w:val="ListParagraph"/>
        <w:numPr>
          <w:ilvl w:val="0"/>
          <w:numId w:val="2"/>
        </w:numPr>
        <w:spacing w:after="80"/>
      </w:pPr>
      <w:r>
        <w:rPr>
          <w:rFonts w:ascii="Arial" w:cs="Arial" w:eastAsia="Arial" w:hAnsi="Arial"/>
          <w:sz w:val="22"/>
          <w:szCs w:val="22"/>
        </w:rPr>
        <w:t xml:space="preserve">Maintain gear engagement under load</w:t>
      </w:r>
    </w:p>
    <w:p>
      <w:pPr>
        <w:pStyle w:val="ListParagraph"/>
        <w:numPr>
          <w:ilvl w:val="0"/>
          <w:numId w:val="2"/>
        </w:numPr>
        <w:spacing w:after="80"/>
      </w:pPr>
      <w:r>
        <w:rPr>
          <w:rFonts w:ascii="Arial" w:cs="Arial" w:eastAsia="Arial" w:hAnsi="Arial"/>
          <w:sz w:val="22"/>
          <w:szCs w:val="22"/>
        </w:rPr>
        <w:t xml:space="preserve">Contain and circulate lubrication oil to all bearing and gear contact surfaces</w:t>
      </w:r>
    </w:p>
    <w:p>
      <w:pPr>
        <w:pStyle w:val="ListParagraph"/>
        <w:numPr>
          <w:ilvl w:val="0"/>
          <w:numId w:val="2"/>
        </w:numPr>
        <w:spacing w:after="80"/>
      </w:pPr>
      <w:r>
        <w:rPr>
          <w:rFonts w:ascii="Arial" w:cs="Arial" w:eastAsia="Arial" w:hAnsi="Arial"/>
          <w:sz w:val="22"/>
          <w:szCs w:val="22"/>
        </w:rPr>
        <w:t xml:space="preserve">Provide structural support and alignment for all internal rotating components</w:t>
      </w:r>
    </w:p>
    <w:p>
      <w:pPr>
        <w:pStyle w:val="Heading3"/>
        <w:spacing w:after="100" w:before="240"/>
      </w:pPr>
      <w:r>
        <w:rPr>
          <w:rFonts w:ascii="Arial" w:cs="Arial" w:eastAsia="Arial" w:hAnsi="Arial"/>
          <w:b/>
          <w:bCs/>
          <w:color w:val="0A1628"/>
          <w:sz w:val="22"/>
          <w:szCs w:val="22"/>
        </w:rPr>
        <w:t xml:space="preserve">Noise Factors (P-Diagram)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684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Noise Factors Used</w:t>
            </w:r>
          </w:p>
        </w:tc>
      </w:tr>
      <w:tr>
        <w:tc>
          <w:tcPr>
            <w:tcW w:type="dxa" w:w="25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Customer Usage</w:t>
            </w:r>
          </w:p>
        </w:tc>
        <w:tc>
          <w:tcPr>
            <w:tcW w:type="dxa" w:w="68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High-duty-cycle operation, repeated hill starts at full load, frequent gear changes, towing above rated capacity</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External Environment</w:t>
            </w:r>
          </w:p>
        </w:tc>
        <w:tc>
          <w:tcPr>
            <w:tcW w:type="dxa" w:w="6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Ingress of mud and water during wading, high ambient temperature (+52°C), cold start at -20°C</w:t>
            </w:r>
          </w:p>
        </w:tc>
      </w:tr>
      <w:tr>
        <w:tc>
          <w:tcPr>
            <w:tcW w:type="dxa" w:w="25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Change Over Time</w:t>
            </w:r>
          </w:p>
        </w:tc>
        <w:tc>
          <w:tcPr>
            <w:tcW w:type="dxa" w:w="68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Gear tooth wear over service life, oil degradation (viscosity loss, contamination), seal creep</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Piece-to-Piece</w:t>
            </w:r>
          </w:p>
        </w:tc>
        <w:tc>
          <w:tcPr>
            <w:tcW w:type="dxa" w:w="6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Gear tooth profile tolerance variation, bearing radial clearance variation, housing bore alignment</w:t>
            </w:r>
          </w:p>
        </w:tc>
      </w:tr>
      <w:tr>
        <w:tc>
          <w:tcPr>
            <w:tcW w:type="dxa" w:w="25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System Interactions</w:t>
            </w:r>
          </w:p>
        </w:tc>
        <w:tc>
          <w:tcPr>
            <w:tcW w:type="dxa" w:w="68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Engine torque spikes from transmission shunt, driveshaft vibration at resonant speeds</w:t>
            </w:r>
          </w:p>
        </w:tc>
      </w:tr>
    </w:tbl>
    <w:p>
      <w:pPr>
        <w:spacing w:after="180"/>
      </w:pPr>
      <w:r>
        <w:t xml:space="preserve"/>
      </w:r>
    </w:p>
    <w:p>
      <w:pPr>
        <w:pStyle w:val="Heading3"/>
        <w:spacing w:after="100" w:before="240"/>
      </w:pPr>
      <w:r>
        <w:rPr>
          <w:rFonts w:ascii="Arial" w:cs="Arial" w:eastAsia="Arial" w:hAnsi="Arial"/>
          <w:b/>
          <w:bCs/>
          <w:color w:val="0A1628"/>
          <w:sz w:val="22"/>
          <w:szCs w:val="22"/>
        </w:rPr>
        <w:t xml:space="preserve">DFMEA Output</w:t>
      </w:r>
    </w:p>
    <w:p>
      <w:pPr>
        <w:spacing w:after="160"/>
        <w:jc w:val="both"/>
      </w:pPr>
      <w:r>
        <w:rPr>
          <w:rFonts w:ascii="Arial" w:cs="Arial" w:eastAsia="Arial" w:hAnsi="Arial"/>
          <w:b w:val="false"/>
          <w:bCs w:val="false"/>
          <w:i w:val="false"/>
          <w:iCs w:val="false"/>
          <w:color w:val="000000"/>
          <w:sz w:val="22"/>
          <w:szCs w:val="22"/>
        </w:rPr>
        <w:t xml:space="preserve">The gearbox DFMEA produced 47 failure cause rows across 5 focus functions. Sample outputs demonstrating the quality of LLM-generated causes: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2880"/>
      </w:tblGrid>
      <w:tr>
        <w:trPr>
          <w:tblHeader/>
        </w:trPr>
        <w:tc>
          <w:tcPr>
            <w:tcW w:type="dxa" w:w="21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Focus Function</w:t>
            </w:r>
          </w:p>
        </w:tc>
        <w:tc>
          <w:tcPr>
            <w:tcW w:type="dxa" w:w="21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Failure Mode</w:t>
            </w:r>
          </w:p>
        </w:tc>
        <w:tc>
          <w:tcPr>
            <w:tcW w:type="dxa" w:w="21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Noise Factor</w:t>
            </w:r>
          </w:p>
        </w:tc>
        <w:tc>
          <w:tcPr>
            <w:tcW w:type="dxa" w:w="288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Generated Cause</w:t>
            </w:r>
          </w:p>
        </w:tc>
      </w:tr>
      <w:tr>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Transmit torque at gear ratio</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Torque not transmitted (gear slip)</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Customer Usage: Towing above rated capacity</w:t>
            </w:r>
          </w:p>
        </w:tc>
        <w:tc>
          <w:tcPr>
            <w:tcW w:type="dxa" w:w="28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Synchroniser cone surface loaded beyond design capacity causes spline engagement to disengage under shock torque, resulting in gear slip</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Enable smooth gear change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Gear change requires excessive force (degraded)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Change Over Time: Synchroniser ring wear</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Synchroniser ring friction surface worn below minimum thickness after high-cycle operation, increasing blocking force and shift effort beyond acceptable limit</w:t>
            </w:r>
          </w:p>
        </w:tc>
      </w:tr>
      <w:tr>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Contain lubrication oil</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Oil leaks past shaft seal (partial loss)</w:t>
            </w:r>
          </w:p>
        </w:tc>
        <w:tc>
          <w:tcPr>
            <w:tcW w:type="dxa" w:w="2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Piece-to-Piece: Seal groove depth variation</w:t>
            </w:r>
          </w:p>
        </w:tc>
        <w:tc>
          <w:tcPr>
            <w:tcW w:type="dxa" w:w="28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Housing seal groove depth tolerance variation outside specification allows lip seal to seat eccentrically, creating intermittent contact loss and oil weeping</w:t>
            </w:r>
          </w:p>
        </w:tc>
      </w:tr>
    </w:tbl>
    <w:p>
      <w:pPr>
        <w:spacing w:after="180"/>
      </w:pPr>
      <w:r>
        <w:t xml:space="preserve"/>
      </w:r>
    </w:p>
    <w:p>
      <w:pPr>
        <w:spacing w:after="160"/>
        <w:jc w:val="both"/>
      </w:pPr>
      <w:r>
        <w:rPr>
          <w:rFonts w:ascii="Arial" w:cs="Arial" w:eastAsia="Arial" w:hAnsi="Arial"/>
          <w:b w:val="false"/>
          <w:bCs w:val="false"/>
          <w:i w:val="false"/>
          <w:iCs w:val="false"/>
          <w:color w:val="000000"/>
          <w:sz w:val="22"/>
          <w:szCs w:val="22"/>
        </w:rPr>
        <w:t xml:space="preserve">The IFMEA for the Gearbox identified three critical interfaces from the Interface Matrix (all rated -2 on Physical type): the Input Shaft to Gear Housing bearing interface (fretting corrosion under thermal cycling), the Synchroniser Ring to Cone interface (adhesive wear at high shift frequency), and the Oil Seal to Housing interface (compression set failure at sustained high temperature).</w:t>
      </w:r>
    </w:p>
    <w:p>
      <w:pPr>
        <w:pStyle w:val="Heading2"/>
        <w:spacing w:after="160" w:before="320"/>
      </w:pPr>
      <w:r>
        <w:rPr>
          <w:rFonts w:ascii="Arial" w:cs="Arial" w:eastAsia="Arial" w:hAnsi="Arial"/>
          <w:b/>
          <w:bCs/>
          <w:color w:val="0D7377"/>
          <w:sz w:val="26"/>
          <w:szCs w:val="26"/>
        </w:rPr>
        <w:t xml:space="preserve">5.2 Starting System DFMEA</w:t>
      </w:r>
    </w:p>
    <w:p>
      <w:pPr>
        <w:pStyle w:val="Heading3"/>
        <w:spacing w:after="100" w:before="240"/>
      </w:pPr>
      <w:r>
        <w:rPr>
          <w:rFonts w:ascii="Arial" w:cs="Arial" w:eastAsia="Arial" w:hAnsi="Arial"/>
          <w:b/>
          <w:bCs/>
          <w:color w:val="0A1628"/>
          <w:sz w:val="22"/>
          <w:szCs w:val="22"/>
        </w:rPr>
        <w:t xml:space="preserve">System Context</w:t>
      </w:r>
    </w:p>
    <w:p>
      <w:pPr>
        <w:spacing w:after="160"/>
        <w:jc w:val="both"/>
      </w:pPr>
      <w:r>
        <w:rPr>
          <w:rFonts w:ascii="Arial" w:cs="Arial" w:eastAsia="Arial" w:hAnsi="Arial"/>
          <w:b w:val="false"/>
          <w:bCs w:val="false"/>
          <w:i w:val="false"/>
          <w:iCs w:val="false"/>
          <w:color w:val="000000"/>
          <w:sz w:val="22"/>
          <w:szCs w:val="22"/>
        </w:rPr>
        <w:t xml:space="preserve">The Starting System is an electromechanical sub-system within the E&amp;E domain for diesel trucks. The focus element is the starter motor assembly. The higher-level element is the Engine Starting System; lower-level elements include the motor windings, solenoid assembly, drive pinion and ring gear interface, and electrical terminals.</w:t>
      </w:r>
    </w:p>
    <w:p>
      <w:pPr>
        <w:pStyle w:val="Heading3"/>
        <w:spacing w:after="100" w:before="240"/>
      </w:pPr>
      <w:r>
        <w:rPr>
          <w:rFonts w:ascii="Arial" w:cs="Arial" w:eastAsia="Arial" w:hAnsi="Arial"/>
          <w:b/>
          <w:bCs/>
          <w:color w:val="0A1628"/>
          <w:sz w:val="22"/>
          <w:szCs w:val="22"/>
        </w:rPr>
        <w:t xml:space="preserve">Focus Functions Analysed</w:t>
      </w:r>
    </w:p>
    <w:p>
      <w:pPr>
        <w:pStyle w:val="ListParagraph"/>
        <w:numPr>
          <w:ilvl w:val="0"/>
          <w:numId w:val="2"/>
        </w:numPr>
        <w:spacing w:after="80"/>
      </w:pPr>
      <w:r>
        <w:rPr>
          <w:rFonts w:ascii="Arial" w:cs="Arial" w:eastAsia="Arial" w:hAnsi="Arial"/>
          <w:sz w:val="22"/>
          <w:szCs w:val="22"/>
        </w:rPr>
        <w:t xml:space="preserve">Deliver sufficient cranking torque to overcome engine compression resistance and friction</w:t>
      </w:r>
    </w:p>
    <w:p>
      <w:pPr>
        <w:pStyle w:val="ListParagraph"/>
        <w:numPr>
          <w:ilvl w:val="0"/>
          <w:numId w:val="2"/>
        </w:numPr>
        <w:spacing w:after="80"/>
      </w:pPr>
      <w:r>
        <w:rPr>
          <w:rFonts w:ascii="Arial" w:cs="Arial" w:eastAsia="Arial" w:hAnsi="Arial"/>
          <w:sz w:val="22"/>
          <w:szCs w:val="22"/>
        </w:rPr>
        <w:t xml:space="preserve">Engage drive pinion with engine ring gear at correct timing</w:t>
      </w:r>
    </w:p>
    <w:p>
      <w:pPr>
        <w:pStyle w:val="ListParagraph"/>
        <w:numPr>
          <w:ilvl w:val="0"/>
          <w:numId w:val="2"/>
        </w:numPr>
        <w:spacing w:after="80"/>
      </w:pPr>
      <w:r>
        <w:rPr>
          <w:rFonts w:ascii="Arial" w:cs="Arial" w:eastAsia="Arial" w:hAnsi="Arial"/>
          <w:sz w:val="22"/>
          <w:szCs w:val="22"/>
        </w:rPr>
        <w:t xml:space="preserve">Disengage drive pinion from ring gear after engine starts</w:t>
      </w:r>
    </w:p>
    <w:p>
      <w:pPr>
        <w:pStyle w:val="ListParagraph"/>
        <w:numPr>
          <w:ilvl w:val="0"/>
          <w:numId w:val="2"/>
        </w:numPr>
        <w:spacing w:after="80"/>
      </w:pPr>
      <w:r>
        <w:rPr>
          <w:rFonts w:ascii="Arial" w:cs="Arial" w:eastAsia="Arial" w:hAnsi="Arial"/>
          <w:sz w:val="22"/>
          <w:szCs w:val="22"/>
        </w:rPr>
        <w:t xml:space="preserve">Sustain continuous cranking for up to 30 seconds without thermal shutdown</w:t>
      </w:r>
    </w:p>
    <w:p>
      <w:pPr>
        <w:pStyle w:val="ListParagraph"/>
        <w:numPr>
          <w:ilvl w:val="0"/>
          <w:numId w:val="2"/>
        </w:numPr>
        <w:spacing w:after="80"/>
      </w:pPr>
      <w:r>
        <w:rPr>
          <w:rFonts w:ascii="Arial" w:cs="Arial" w:eastAsia="Arial" w:hAnsi="Arial"/>
          <w:sz w:val="22"/>
          <w:szCs w:val="22"/>
        </w:rPr>
        <w:t xml:space="preserve">Receive and respond to ignition switch signal within 200ms</w:t>
      </w:r>
    </w:p>
    <w:p>
      <w:pPr>
        <w:pStyle w:val="Heading3"/>
        <w:spacing w:after="100" w:before="240"/>
      </w:pPr>
      <w:r>
        <w:rPr>
          <w:rFonts w:ascii="Arial" w:cs="Arial" w:eastAsia="Arial" w:hAnsi="Arial"/>
          <w:b/>
          <w:bCs/>
          <w:color w:val="0A1628"/>
          <w:sz w:val="22"/>
          <w:szCs w:val="22"/>
        </w:rPr>
        <w:t xml:space="preserve">Noise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684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Noise Factors Used</w:t>
            </w:r>
          </w:p>
        </w:tc>
      </w:tr>
      <w:tr>
        <w:tc>
          <w:tcPr>
            <w:tcW w:type="dxa" w:w="25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Customer Usage</w:t>
            </w:r>
          </w:p>
        </w:tc>
        <w:tc>
          <w:tcPr>
            <w:tcW w:type="dxa" w:w="68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Repeated cold-start attempts, extended cranking beyond 30s, starting at full battery discharge (11.5V)</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External Environment</w:t>
            </w:r>
          </w:p>
        </w:tc>
        <w:tc>
          <w:tcPr>
            <w:tcW w:type="dxa" w:w="6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Salt spray and moisture ingress at terminal connections, vibration from road surface during operation</w:t>
            </w:r>
          </w:p>
        </w:tc>
      </w:tr>
      <w:tr>
        <w:tc>
          <w:tcPr>
            <w:tcW w:type="dxa" w:w="25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Change Over Time</w:t>
            </w:r>
          </w:p>
        </w:tc>
        <w:tc>
          <w:tcPr>
            <w:tcW w:type="dxa" w:w="68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Brush wear in motor commutator, solenoid contact pitting, pinion spline wear</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System Interactions</w:t>
            </w:r>
          </w:p>
        </w:tc>
        <w:tc>
          <w:tcPr>
            <w:tcW w:type="dxa" w:w="6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Voltage sag on shared electrical bus during cranking, chassis vibration at resonant frequency of motor mount</w:t>
            </w:r>
          </w:p>
        </w:tc>
      </w:tr>
    </w:tbl>
    <w:p>
      <w:pPr>
        <w:spacing w:after="180"/>
      </w:pPr>
      <w:r>
        <w:t xml:space="preserve"/>
      </w:r>
    </w:p>
    <w:p>
      <w:pPr>
        <w:pStyle w:val="Heading3"/>
        <w:spacing w:after="100" w:before="240"/>
      </w:pPr>
      <w:r>
        <w:rPr>
          <w:rFonts w:ascii="Arial" w:cs="Arial" w:eastAsia="Arial" w:hAnsi="Arial"/>
          <w:b/>
          <w:bCs/>
          <w:color w:val="0A1628"/>
          <w:sz w:val="22"/>
          <w:szCs w:val="22"/>
        </w:rPr>
        <w:t xml:space="preserve">DFMEA Output</w:t>
      </w:r>
    </w:p>
    <w:p>
      <w:pPr>
        <w:spacing w:after="160"/>
        <w:jc w:val="both"/>
      </w:pPr>
      <w:r>
        <w:rPr>
          <w:rFonts w:ascii="Arial" w:cs="Arial" w:eastAsia="Arial" w:hAnsi="Arial"/>
          <w:b w:val="false"/>
          <w:bCs w:val="false"/>
          <w:i w:val="false"/>
          <w:iCs w:val="false"/>
          <w:color w:val="000000"/>
          <w:sz w:val="22"/>
          <w:szCs w:val="22"/>
        </w:rPr>
        <w:t xml:space="preserve">The Starting System DFMEA produced 38 failure cause rows across 5 focus functions. The IFMEA highlighted two critical interfaces: the battery cable terminal to solenoid connection (increased contact resistance from corrosion causing voltage drop that reduces cranking torque below minimum) and the pinion-ring gear engagement (backlash out of tolerance causing pinion bounce and engagement failure at low temperatures).</w:t>
      </w:r>
    </w:p>
    <w:p>
      <w:pPr>
        <w:spacing w:after="160"/>
        <w:jc w:val="both"/>
      </w:pPr>
      <w:r>
        <w:rPr>
          <w:rFonts w:ascii="Arial" w:cs="Arial" w:eastAsia="Arial" w:hAnsi="Arial"/>
          <w:b w:val="false"/>
          <w:bCs w:val="false"/>
          <w:i w:val="false"/>
          <w:iCs w:val="false"/>
          <w:color w:val="000000"/>
          <w:sz w:val="22"/>
          <w:szCs w:val="22"/>
        </w:rPr>
        <w:t xml:space="preserve">A notable result: the LLM correctly identified that repeated cold-start attempts with a partially discharged battery is the dominant failure driver for the motor windings (thermal overload from extended cranking at low voltage draws disproportionately high current), assigning this path a higher Action Priority than mechanical wear causes — consistent with warranty data patterns for starter motors in cold-climate markets.</w:t>
      </w:r>
    </w:p>
    <w:p>
      <w:pPr>
        <w:pStyle w:val="Heading2"/>
        <w:spacing w:after="160" w:before="320"/>
      </w:pPr>
      <w:r>
        <w:rPr>
          <w:rFonts w:ascii="Arial" w:cs="Arial" w:eastAsia="Arial" w:hAnsi="Arial"/>
          <w:b/>
          <w:bCs/>
          <w:color w:val="0D7377"/>
          <w:sz w:val="26"/>
          <w:szCs w:val="26"/>
        </w:rPr>
        <w:t xml:space="preserve">5.3 Wiring Harness DFMEA</w:t>
      </w:r>
    </w:p>
    <w:p>
      <w:pPr>
        <w:pStyle w:val="Heading3"/>
        <w:spacing w:after="100" w:before="240"/>
      </w:pPr>
      <w:r>
        <w:rPr>
          <w:rFonts w:ascii="Arial" w:cs="Arial" w:eastAsia="Arial" w:hAnsi="Arial"/>
          <w:b/>
          <w:bCs/>
          <w:color w:val="0A1628"/>
          <w:sz w:val="22"/>
          <w:szCs w:val="22"/>
        </w:rPr>
        <w:t xml:space="preserve">System Context</w:t>
      </w:r>
    </w:p>
    <w:p>
      <w:pPr>
        <w:spacing w:after="160"/>
        <w:jc w:val="both"/>
      </w:pPr>
      <w:r>
        <w:rPr>
          <w:rFonts w:ascii="Arial" w:cs="Arial" w:eastAsia="Arial" w:hAnsi="Arial"/>
          <w:b w:val="false"/>
          <w:bCs w:val="false"/>
          <w:i w:val="false"/>
          <w:iCs w:val="false"/>
          <w:color w:val="000000"/>
          <w:sz w:val="22"/>
          <w:szCs w:val="22"/>
        </w:rPr>
        <w:t xml:space="preserve">The Wiring Harness is a critical integration element in the E&amp;E domain, connecting the battery and alternator to all electrical loads (ECUs, lighting, HVAC, instruments, safety systems) throughout the cab and chassis. The focus element is the main chassis wiring harness. The higher-level element is the Vehicle Electrical Distribution System; lower-level elements include individual wire conductors, connector bodies, terminals, grommets, and shield braids.</w:t>
      </w:r>
    </w:p>
    <w:p>
      <w:pPr>
        <w:pStyle w:val="Heading3"/>
        <w:spacing w:after="100" w:before="240"/>
      </w:pPr>
      <w:r>
        <w:rPr>
          <w:rFonts w:ascii="Arial" w:cs="Arial" w:eastAsia="Arial" w:hAnsi="Arial"/>
          <w:b/>
          <w:bCs/>
          <w:color w:val="0A1628"/>
          <w:sz w:val="22"/>
          <w:szCs w:val="22"/>
        </w:rPr>
        <w:t xml:space="preserve">Focus Functions Analysed</w:t>
      </w:r>
    </w:p>
    <w:p>
      <w:pPr>
        <w:pStyle w:val="ListParagraph"/>
        <w:numPr>
          <w:ilvl w:val="0"/>
          <w:numId w:val="2"/>
        </w:numPr>
        <w:spacing w:after="80"/>
      </w:pPr>
      <w:r>
        <w:rPr>
          <w:rFonts w:ascii="Arial" w:cs="Arial" w:eastAsia="Arial" w:hAnsi="Arial"/>
          <w:sz w:val="22"/>
          <w:szCs w:val="22"/>
        </w:rPr>
        <w:t xml:space="preserve">Conduct electrical current from source to load within specified voltage drop limits</w:t>
      </w:r>
    </w:p>
    <w:p>
      <w:pPr>
        <w:pStyle w:val="ListParagraph"/>
        <w:numPr>
          <w:ilvl w:val="0"/>
          <w:numId w:val="2"/>
        </w:numPr>
        <w:spacing w:after="80"/>
      </w:pPr>
      <w:r>
        <w:rPr>
          <w:rFonts w:ascii="Arial" w:cs="Arial" w:eastAsia="Arial" w:hAnsi="Arial"/>
          <w:sz w:val="22"/>
          <w:szCs w:val="22"/>
        </w:rPr>
        <w:t xml:space="preserve">Maintain signal integrity for low-voltage sensor and CAN bus signals</w:t>
      </w:r>
    </w:p>
    <w:p>
      <w:pPr>
        <w:pStyle w:val="ListParagraph"/>
        <w:numPr>
          <w:ilvl w:val="0"/>
          <w:numId w:val="2"/>
        </w:numPr>
        <w:spacing w:after="80"/>
      </w:pPr>
      <w:r>
        <w:rPr>
          <w:rFonts w:ascii="Arial" w:cs="Arial" w:eastAsia="Arial" w:hAnsi="Arial"/>
          <w:sz w:val="22"/>
          <w:szCs w:val="22"/>
        </w:rPr>
        <w:t xml:space="preserve">Protect conductors from mechanical abrasion, fluid ingress, and thermal damage</w:t>
      </w:r>
    </w:p>
    <w:p>
      <w:pPr>
        <w:pStyle w:val="ListParagraph"/>
        <w:numPr>
          <w:ilvl w:val="0"/>
          <w:numId w:val="2"/>
        </w:numPr>
        <w:spacing w:after="80"/>
      </w:pPr>
      <w:r>
        <w:rPr>
          <w:rFonts w:ascii="Arial" w:cs="Arial" w:eastAsia="Arial" w:hAnsi="Arial"/>
          <w:sz w:val="22"/>
          <w:szCs w:val="22"/>
        </w:rPr>
        <w:t xml:space="preserve">Provide secure, corrosion-resistant connections at all mating interfaces</w:t>
      </w:r>
    </w:p>
    <w:p>
      <w:pPr>
        <w:pStyle w:val="ListParagraph"/>
        <w:numPr>
          <w:ilvl w:val="0"/>
          <w:numId w:val="2"/>
        </w:numPr>
        <w:spacing w:after="80"/>
      </w:pPr>
      <w:r>
        <w:rPr>
          <w:rFonts w:ascii="Arial" w:cs="Arial" w:eastAsia="Arial" w:hAnsi="Arial"/>
          <w:sz w:val="22"/>
          <w:szCs w:val="22"/>
        </w:rPr>
        <w:t xml:space="preserve">Maintain circuit isolation (prevent ground faults and short circuits)</w:t>
      </w:r>
    </w:p>
    <w:p>
      <w:pPr>
        <w:pStyle w:val="Heading3"/>
        <w:spacing w:after="100" w:before="240"/>
      </w:pPr>
      <w:r>
        <w:rPr>
          <w:rFonts w:ascii="Arial" w:cs="Arial" w:eastAsia="Arial" w:hAnsi="Arial"/>
          <w:b/>
          <w:bCs/>
          <w:color w:val="0A1628"/>
          <w:sz w:val="22"/>
          <w:szCs w:val="22"/>
        </w:rPr>
        <w:t xml:space="preserve">Noise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684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Noise Factors Used</w:t>
            </w:r>
          </w:p>
        </w:tc>
      </w:tr>
      <w:tr>
        <w:tc>
          <w:tcPr>
            <w:tcW w:type="dxa" w:w="25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Customer Usage</w:t>
            </w:r>
          </w:p>
        </w:tc>
        <w:tc>
          <w:tcPr>
            <w:tcW w:type="dxa" w:w="68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High vibration routes (mining, off-road), improper cable routing causing chafe, overloading auxiliary circuits</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External Environment</w:t>
            </w:r>
          </w:p>
        </w:tc>
        <w:tc>
          <w:tcPr>
            <w:tcW w:type="dxa" w:w="6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Salt spray and condensation in connector cavities, fuel and oil contamination, UV exposure on exterior runs, high temperature near exhaust</w:t>
            </w:r>
          </w:p>
        </w:tc>
      </w:tr>
      <w:tr>
        <w:tc>
          <w:tcPr>
            <w:tcW w:type="dxa" w:w="25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Change Over Time</w:t>
            </w:r>
          </w:p>
        </w:tc>
        <w:tc>
          <w:tcPr>
            <w:tcW w:type="dxa" w:w="68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Copper conductor oxidation at terminals, insulation embrittlement from thermal cycling, connector latch wear</w:t>
            </w:r>
          </w:p>
        </w:tc>
      </w:tr>
      <w:tr>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System Interactions</w:t>
            </w:r>
          </w:p>
        </w:tc>
        <w:tc>
          <w:tcPr>
            <w:tcW w:type="dxa" w:w="6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High-frequency EMI from inverters and ECUs coupling into adjacent signal wires, ground offset between chassis sections</w:t>
            </w:r>
          </w:p>
        </w:tc>
      </w:tr>
    </w:tbl>
    <w:p>
      <w:pPr>
        <w:spacing w:after="180"/>
      </w:pPr>
      <w:r>
        <w:t xml:space="preserve"/>
      </w:r>
    </w:p>
    <w:p>
      <w:pPr>
        <w:pStyle w:val="Heading3"/>
        <w:spacing w:after="100" w:before="240"/>
      </w:pPr>
      <w:r>
        <w:rPr>
          <w:rFonts w:ascii="Arial" w:cs="Arial" w:eastAsia="Arial" w:hAnsi="Arial"/>
          <w:b/>
          <w:bCs/>
          <w:color w:val="0A1628"/>
          <w:sz w:val="22"/>
          <w:szCs w:val="22"/>
        </w:rPr>
        <w:t xml:space="preserve">DFMEA Output</w:t>
      </w:r>
    </w:p>
    <w:p>
      <w:pPr>
        <w:spacing w:after="160"/>
        <w:jc w:val="both"/>
      </w:pPr>
      <w:r>
        <w:rPr>
          <w:rFonts w:ascii="Arial" w:cs="Arial" w:eastAsia="Arial" w:hAnsi="Arial"/>
          <w:b w:val="false"/>
          <w:bCs w:val="false"/>
          <w:i w:val="false"/>
          <w:iCs w:val="false"/>
          <w:color w:val="000000"/>
          <w:sz w:val="22"/>
          <w:szCs w:val="22"/>
        </w:rPr>
        <w:t xml:space="preserve">The Wiring Harness DFMEA produced 52 failure cause rows across 5 focus functions — the highest row count of the three sub-systems, reflecting the harness's exposure to a wide range of noise environments. Key findings:</w:t>
      </w:r>
    </w:p>
    <w:p>
      <w:pPr>
        <w:pStyle w:val="ListParagraph"/>
        <w:numPr>
          <w:ilvl w:val="0"/>
          <w:numId w:val="2"/>
        </w:numPr>
        <w:spacing w:after="80"/>
      </w:pPr>
      <w:r>
        <w:rPr>
          <w:rFonts w:ascii="Arial" w:cs="Arial" w:eastAsia="Arial" w:hAnsi="Arial"/>
          <w:sz w:val="22"/>
          <w:szCs w:val="22"/>
        </w:rPr>
        <w:t xml:space="preserve">Signal integrity failures dominated the IFMEA: 4 of 6 critical interfaces (-2 rated) were Information type connections where EMI or impedance mismatch caused CAN bus errors</w:t>
      </w:r>
    </w:p>
    <w:p>
      <w:pPr>
        <w:pStyle w:val="ListParagraph"/>
        <w:numPr>
          <w:ilvl w:val="0"/>
          <w:numId w:val="2"/>
        </w:numPr>
        <w:spacing w:after="80"/>
      </w:pPr>
      <w:r>
        <w:rPr>
          <w:rFonts w:ascii="Arial" w:cs="Arial" w:eastAsia="Arial" w:hAnsi="Arial"/>
          <w:sz w:val="22"/>
          <w:szCs w:val="22"/>
        </w:rPr>
        <w:t xml:space="preserve">The generator correctly distinguished between intermittent (chafe-induced, vibration-dependent) and permanent (corrosion-induced, moisture-driven) failure modes — producing different prevention and detection control recommendations for each</w:t>
      </w:r>
    </w:p>
    <w:p>
      <w:pPr>
        <w:pStyle w:val="ListParagraph"/>
        <w:numPr>
          <w:ilvl w:val="0"/>
          <w:numId w:val="2"/>
        </w:numPr>
        <w:spacing w:after="80"/>
      </w:pPr>
      <w:r>
        <w:rPr>
          <w:rFonts w:ascii="Arial" w:cs="Arial" w:eastAsia="Arial" w:hAnsi="Arial"/>
          <w:sz w:val="22"/>
          <w:szCs w:val="22"/>
        </w:rPr>
        <w:t xml:space="preserve">Severity ratings for ground fault causes averaged S=8 (loss of ECU function) and S=9 for ABS ground faults (potential loss of brake control) — consistent with safety engineering expectations</w:t>
      </w:r>
    </w:p>
    <w:p>
      <w:pPr>
        <w:spacing w:after="160"/>
        <w:jc w:val="both"/>
      </w:pPr>
      <w:r>
        <w:rPr>
          <w:rFonts w:ascii="Arial" w:cs="Arial" w:eastAsia="Arial" w:hAnsi="Arial"/>
          <w:b w:val="false"/>
          <w:bCs w:val="false"/>
          <w:i w:val="false"/>
          <w:iCs w:val="false"/>
          <w:color w:val="000000"/>
          <w:sz w:val="22"/>
          <w:szCs w:val="22"/>
        </w:rPr>
        <w:t xml:space="preserve">The IFMEA Interface Matrix for the Wiring Harness was the largest generated: 7 elements including Environment, producing a 7×7 matrix. All connector-to-chassis ground interfaces were rated -2 on Material type (corrosion products in contact path), flagging them as the highest priority IFMEA subjects.</w:t>
      </w:r>
    </w:p>
    <w:p>
      <w:pPr>
        <w:pStyle w:val="Heading2"/>
        <w:spacing w:after="160" w:before="320"/>
      </w:pPr>
      <w:r>
        <w:rPr>
          <w:rFonts w:ascii="Arial" w:cs="Arial" w:eastAsia="Arial" w:hAnsi="Arial"/>
          <w:b/>
          <w:bCs/>
          <w:color w:val="0D7377"/>
          <w:sz w:val="26"/>
          <w:szCs w:val="26"/>
        </w:rPr>
        <w:t xml:space="preserve">5.4 Summary of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2040"/>
        <w:gridCol w:w="2040"/>
        <w:gridCol w:w="2040"/>
      </w:tblGrid>
      <w:tr>
        <w:trPr>
          <w:tblHeader/>
        </w:trPr>
        <w:tc>
          <w:tcPr>
            <w:tcW w:type="dxa" w:w="324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204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Gearbox</w:t>
            </w:r>
          </w:p>
        </w:tc>
        <w:tc>
          <w:tcPr>
            <w:tcW w:type="dxa" w:w="204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Starting System</w:t>
            </w:r>
          </w:p>
        </w:tc>
        <w:tc>
          <w:tcPr>
            <w:tcW w:type="dxa" w:w="204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Wiring Harness</w:t>
            </w:r>
          </w:p>
        </w:tc>
      </w:tr>
      <w:tr>
        <w:tc>
          <w:tcPr>
            <w:tcW w:type="dxa" w:w="32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Focus functions analysed</w:t>
            </w:r>
          </w:p>
        </w:tc>
        <w:tc>
          <w:tcPr>
            <w:tcW w:type="dxa" w:w="20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5</w:t>
            </w:r>
          </w:p>
        </w:tc>
        <w:tc>
          <w:tcPr>
            <w:tcW w:type="dxa" w:w="20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5</w:t>
            </w:r>
          </w:p>
        </w:tc>
        <w:tc>
          <w:tcPr>
            <w:tcW w:type="dxa" w:w="20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5</w:t>
            </w:r>
          </w:p>
        </w:tc>
      </w:tr>
      <w:tr>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DFMEA cause rows generated</w:t>
            </w:r>
          </w:p>
        </w:tc>
        <w:tc>
          <w:tcPr>
            <w:tcW w:type="dxa" w:w="2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47</w:t>
            </w:r>
          </w:p>
        </w:tc>
        <w:tc>
          <w:tcPr>
            <w:tcW w:type="dxa" w:w="2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38</w:t>
            </w:r>
          </w:p>
        </w:tc>
        <w:tc>
          <w:tcPr>
            <w:tcW w:type="dxa" w:w="2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52</w:t>
            </w:r>
          </w:p>
        </w:tc>
      </w:tr>
      <w:tr>
        <w:tc>
          <w:tcPr>
            <w:tcW w:type="dxa" w:w="32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IFMEA interfaces analysed</w:t>
            </w:r>
          </w:p>
        </w:tc>
        <w:tc>
          <w:tcPr>
            <w:tcW w:type="dxa" w:w="20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4</w:t>
            </w:r>
          </w:p>
        </w:tc>
        <w:tc>
          <w:tcPr>
            <w:tcW w:type="dxa" w:w="20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3</w:t>
            </w:r>
          </w:p>
        </w:tc>
        <w:tc>
          <w:tcPr>
            <w:tcW w:type="dxa" w:w="20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6</w:t>
            </w:r>
          </w:p>
        </w:tc>
      </w:tr>
      <w:tr>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IFMEA cause rows</w:t>
            </w:r>
          </w:p>
        </w:tc>
        <w:tc>
          <w:tcPr>
            <w:tcW w:type="dxa" w:w="2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18</w:t>
            </w:r>
          </w:p>
        </w:tc>
        <w:tc>
          <w:tcPr>
            <w:tcW w:type="dxa" w:w="2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12</w:t>
            </w:r>
          </w:p>
        </w:tc>
        <w:tc>
          <w:tcPr>
            <w:tcW w:type="dxa" w:w="2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27</w:t>
            </w:r>
          </w:p>
        </w:tc>
      </w:tr>
      <w:tr>
        <w:tc>
          <w:tcPr>
            <w:tcW w:type="dxa" w:w="32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Critical interfaces (-2 rated)</w:t>
            </w:r>
          </w:p>
        </w:tc>
        <w:tc>
          <w:tcPr>
            <w:tcW w:type="dxa" w:w="20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3</w:t>
            </w:r>
          </w:p>
        </w:tc>
        <w:tc>
          <w:tcPr>
            <w:tcW w:type="dxa" w:w="20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2</w:t>
            </w:r>
          </w:p>
        </w:tc>
        <w:tc>
          <w:tcPr>
            <w:tcW w:type="dxa" w:w="20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4</w:t>
            </w:r>
          </w:p>
        </w:tc>
      </w:tr>
      <w:tr>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Action Priority High causes</w:t>
            </w:r>
          </w:p>
        </w:tc>
        <w:tc>
          <w:tcPr>
            <w:tcW w:type="dxa" w:w="2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w:t>
            </w:r>
          </w:p>
        </w:tc>
        <w:tc>
          <w:tcPr>
            <w:tcW w:type="dxa" w:w="2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2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11</w:t>
            </w:r>
          </w:p>
        </w:tc>
      </w:tr>
      <w:tr>
        <w:tc>
          <w:tcPr>
            <w:tcW w:type="dxa" w:w="32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Auto-assigned O/D ratings</w:t>
            </w:r>
          </w:p>
        </w:tc>
        <w:tc>
          <w:tcPr>
            <w:tcW w:type="dxa" w:w="20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47</w:t>
            </w:r>
          </w:p>
        </w:tc>
        <w:tc>
          <w:tcPr>
            <w:tcW w:type="dxa" w:w="20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38</w:t>
            </w:r>
          </w:p>
        </w:tc>
        <w:tc>
          <w:tcPr>
            <w:tcW w:type="dxa" w:w="20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52</w:t>
            </w:r>
          </w:p>
        </w:tc>
      </w:tr>
      <w:tr>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Severity manually set by engineer</w:t>
            </w:r>
          </w:p>
        </w:tc>
        <w:tc>
          <w:tcPr>
            <w:tcW w:type="dxa" w:w="2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47</w:t>
            </w:r>
          </w:p>
        </w:tc>
        <w:tc>
          <w:tcPr>
            <w:tcW w:type="dxa" w:w="2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38</w:t>
            </w:r>
          </w:p>
        </w:tc>
        <w:tc>
          <w:tcPr>
            <w:tcW w:type="dxa" w:w="2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52</w:t>
            </w:r>
          </w:p>
        </w:tc>
      </w:tr>
      <w:tr>
        <w:tc>
          <w:tcPr>
            <w:tcW w:type="dxa" w:w="32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Time to complete (approx)</w:t>
            </w:r>
          </w:p>
        </w:tc>
        <w:tc>
          <w:tcPr>
            <w:tcW w:type="dxa" w:w="20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2 hours</w:t>
            </w:r>
          </w:p>
        </w:tc>
        <w:tc>
          <w:tcPr>
            <w:tcW w:type="dxa" w:w="20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1.5 hours</w:t>
            </w:r>
          </w:p>
        </w:tc>
        <w:tc>
          <w:tcPr>
            <w:tcW w:type="dxa" w:w="20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2.5 hours</w:t>
            </w:r>
          </w:p>
        </w:tc>
      </w:tr>
    </w:tbl>
    <w:p>
      <w:pPr>
        <w:spacing w:after="180"/>
      </w:pPr>
      <w:r>
        <w:t xml:space="preserve"/>
      </w:r>
    </w:p>
    <w:p>
      <w:pPr>
        <w:spacing w:after="160"/>
        <w:jc w:val="both"/>
      </w:pPr>
      <w:r>
        <w:rPr>
          <w:rFonts w:ascii="Arial" w:cs="Arial" w:eastAsia="Arial" w:hAnsi="Arial"/>
          <w:b w:val="false"/>
          <w:bCs w:val="false"/>
          <w:i w:val="false"/>
          <w:iCs w:val="false"/>
          <w:color w:val="000000"/>
          <w:sz w:val="22"/>
          <w:szCs w:val="22"/>
        </w:rPr>
        <w:t xml:space="preserve">Across all three sub-systems, the tool generated 137 DFMEA cause rows and 57 IFMEA rows in approximately 6 hours total — including wizard completion time, engineer review, and severity assignment. A comparable manual DFMEA effort for three sub-systems of this complexity would typically take 3-6 weeks of senior engineer time.</w:t>
      </w:r>
    </w:p>
    <w:p>
      <w:r>
        <w:br w:type="page"/>
      </w:r>
    </w:p>
    <w:p>
      <w:pPr>
        <w:pStyle w:val="Heading1"/>
        <w:spacing w:after="220" w:before="480"/>
      </w:pPr>
      <w:r>
        <w:rPr>
          <w:rFonts w:ascii="Arial" w:cs="Arial" w:eastAsia="Arial" w:hAnsi="Arial"/>
          <w:b/>
          <w:bCs/>
          <w:color w:val="0A1628"/>
          <w:sz w:val="32"/>
          <w:szCs w:val="32"/>
        </w:rPr>
        <w:t xml:space="preserve">6. Conclusions &amp; Future Work</w:t>
      </w:r>
    </w:p>
    <w:p>
      <w:pPr>
        <w:pStyle w:val="Heading2"/>
        <w:spacing w:after="160" w:before="320"/>
      </w:pPr>
      <w:r>
        <w:rPr>
          <w:rFonts w:ascii="Arial" w:cs="Arial" w:eastAsia="Arial" w:hAnsi="Arial"/>
          <w:b/>
          <w:bCs/>
          <w:color w:val="0D7377"/>
          <w:sz w:val="26"/>
          <w:szCs w:val="26"/>
        </w:rPr>
        <w:t xml:space="preserve">6.1 What Was Demonstrated</w:t>
      </w:r>
    </w:p>
    <w:p>
      <w:pPr>
        <w:spacing w:after="160"/>
        <w:jc w:val="both"/>
      </w:pPr>
      <w:r>
        <w:rPr>
          <w:rFonts w:ascii="Arial" w:cs="Arial" w:eastAsia="Arial" w:hAnsi="Arial"/>
          <w:b w:val="false"/>
          <w:bCs w:val="false"/>
          <w:i w:val="false"/>
          <w:iCs w:val="false"/>
          <w:color w:val="000000"/>
          <w:sz w:val="22"/>
          <w:szCs w:val="22"/>
        </w:rPr>
        <w:t xml:space="preserve">The project demonstrated three things that were not obvious at the start:</w:t>
      </w:r>
    </w:p>
    <w:p>
      <w:pPr>
        <w:pStyle w:val="ListParagraph"/>
        <w:numPr>
          <w:ilvl w:val="0"/>
          <w:numId w:val="2"/>
        </w:numPr>
        <w:spacing w:after="80"/>
      </w:pPr>
      <w:r>
        <w:rPr>
          <w:rFonts w:ascii="Arial" w:cs="Arial" w:eastAsia="Arial" w:hAnsi="Arial"/>
          <w:sz w:val="22"/>
          <w:szCs w:val="22"/>
        </w:rPr>
        <w:t xml:space="preserve">LLMs with the right domain grounding (AIAG-VDA rubric, noise factor context, element hierarchy) produce mechanistically specific and physically plausible DFMEA causes — not generic descriptions. The gearbox, starting system, and wiring harness results confirm this across three mechanically distinct sub-systems.</w:t>
      </w:r>
    </w:p>
    <w:p>
      <w:pPr>
        <w:pStyle w:val="ListParagraph"/>
        <w:numPr>
          <w:ilvl w:val="0"/>
          <w:numId w:val="2"/>
        </w:numPr>
        <w:spacing w:after="80"/>
      </w:pPr>
      <w:r>
        <w:rPr>
          <w:rFonts w:ascii="Arial" w:cs="Arial" w:eastAsia="Arial" w:hAnsi="Arial"/>
          <w:sz w:val="22"/>
          <w:szCs w:val="22"/>
        </w:rPr>
        <w:t xml:space="preserve">A guided wizard with human review at every step is the right architecture for engineering AI tools. The engineer's role shifted from manually writing 137 cause rows to reviewing and approving 137 LLM-generated rows — a fundamentally different cognitive task that takes a fraction of the time while preserving engineering accountability.</w:t>
      </w:r>
    </w:p>
    <w:p>
      <w:pPr>
        <w:pStyle w:val="ListParagraph"/>
        <w:numPr>
          <w:ilvl w:val="0"/>
          <w:numId w:val="2"/>
        </w:numPr>
        <w:spacing w:after="80"/>
      </w:pPr>
      <w:r>
        <w:rPr>
          <w:rFonts w:ascii="Arial" w:cs="Arial" w:eastAsia="Arial" w:hAnsi="Arial"/>
          <w:sz w:val="22"/>
          <w:szCs w:val="22"/>
        </w:rPr>
        <w:t xml:space="preserve">The cross-domain architecture works as designed. No code changed between the gearbox DFMEA (Drivetrain domain), starting system DFMEA (E&amp;E domain), and wiring harness DFMEA (E&amp;E domain). Only the input data differed.</w:t>
      </w:r>
    </w:p>
    <w:p>
      <w:pPr>
        <w:pStyle w:val="Heading2"/>
        <w:spacing w:after="160" w:before="320"/>
      </w:pPr>
      <w:r>
        <w:rPr>
          <w:rFonts w:ascii="Arial" w:cs="Arial" w:eastAsia="Arial" w:hAnsi="Arial"/>
          <w:b/>
          <w:bCs/>
          <w:color w:val="0D7377"/>
          <w:sz w:val="26"/>
          <w:szCs w:val="26"/>
        </w:rPr>
        <w:t xml:space="preserve">6.2 Limitations</w:t>
      </w:r>
    </w:p>
    <w:p>
      <w:pPr>
        <w:pStyle w:val="ListParagraph"/>
        <w:numPr>
          <w:ilvl w:val="0"/>
          <w:numId w:val="2"/>
        </w:numPr>
        <w:spacing w:after="80"/>
      </w:pPr>
      <w:r>
        <w:rPr>
          <w:rFonts w:ascii="Arial" w:cs="Arial" w:eastAsia="Arial" w:hAnsi="Arial"/>
          <w:sz w:val="22"/>
          <w:szCs w:val="22"/>
        </w:rPr>
        <w:t xml:space="preserve">No server-side persistence — all state lives in the browser session; closing the tab loses all work. A production deployment would need a backend database.</w:t>
      </w:r>
    </w:p>
    <w:p>
      <w:pPr>
        <w:pStyle w:val="ListParagraph"/>
        <w:numPr>
          <w:ilvl w:val="0"/>
          <w:numId w:val="2"/>
        </w:numPr>
        <w:spacing w:after="80"/>
      </w:pPr>
      <w:r>
        <w:rPr>
          <w:rFonts w:ascii="Arial" w:cs="Arial" w:eastAsia="Arial" w:hAnsi="Arial"/>
          <w:sz w:val="22"/>
          <w:szCs w:val="22"/>
        </w:rPr>
        <w:t xml:space="preserve">Severity is always manual — for 137 cause rows across three sub-systems, the engineer had to manually set 137 severity values. While correct (severity requires system-level judgment), this is the remaining significant time cost.</w:t>
      </w:r>
    </w:p>
    <w:p>
      <w:pPr>
        <w:pStyle w:val="ListParagraph"/>
        <w:numPr>
          <w:ilvl w:val="0"/>
          <w:numId w:val="2"/>
        </w:numPr>
        <w:spacing w:after="80"/>
      </w:pPr>
      <w:r>
        <w:rPr>
          <w:rFonts w:ascii="Arial" w:cs="Arial" w:eastAsia="Arial" w:hAnsi="Arial"/>
          <w:sz w:val="22"/>
          <w:szCs w:val="22"/>
        </w:rPr>
        <w:t xml:space="preserve">LLM cost at scale — one LLM call per (mode × noise × element) triple; for a large sub-system with many noise factors this can be 200+ calls. Batching would reduce this significantly.</w:t>
      </w:r>
    </w:p>
    <w:p>
      <w:pPr>
        <w:pStyle w:val="Heading2"/>
        <w:spacing w:after="160" w:before="320"/>
      </w:pPr>
      <w:r>
        <w:rPr>
          <w:rFonts w:ascii="Arial" w:cs="Arial" w:eastAsia="Arial" w:hAnsi="Arial"/>
          <w:b/>
          <w:bCs/>
          <w:color w:val="0D7377"/>
          <w:sz w:val="26"/>
          <w:szCs w:val="26"/>
        </w:rPr>
        <w:t xml:space="preserve">6.3 Future Work</w:t>
      </w:r>
    </w:p>
    <w:p>
      <w:pPr>
        <w:pStyle w:val="ListParagraph"/>
        <w:numPr>
          <w:ilvl w:val="0"/>
          <w:numId w:val="2"/>
        </w:numPr>
        <w:spacing w:after="80"/>
      </w:pPr>
      <w:r>
        <w:rPr>
          <w:rFonts w:ascii="Arial" w:cs="Arial" w:eastAsia="Arial" w:hAnsi="Arial"/>
          <w:sz w:val="22"/>
          <w:szCs w:val="22"/>
        </w:rPr>
        <w:t xml:space="preserve">Fault Tree Analysis — automated FTA from confirmed DFMEA rows (all information is present)</w:t>
      </w:r>
    </w:p>
    <w:p>
      <w:pPr>
        <w:pStyle w:val="ListParagraph"/>
        <w:numPr>
          <w:ilvl w:val="0"/>
          <w:numId w:val="2"/>
        </w:numPr>
        <w:spacing w:after="80"/>
      </w:pPr>
      <w:r>
        <w:rPr>
          <w:rFonts w:ascii="Arial" w:cs="Arial" w:eastAsia="Arial" w:hAnsi="Arial"/>
          <w:sz w:val="22"/>
          <w:szCs w:val="22"/>
        </w:rPr>
        <w:t xml:space="preserve">Severity suggestion model — a specialised model calibrated to Ashok Leyland's historical severity assignments could safely suggest severity values</w:t>
      </w:r>
    </w:p>
    <w:p>
      <w:pPr>
        <w:pStyle w:val="ListParagraph"/>
        <w:numPr>
          <w:ilvl w:val="0"/>
          <w:numId w:val="2"/>
        </w:numPr>
        <w:spacing w:after="80"/>
      </w:pPr>
      <w:r>
        <w:rPr>
          <w:rFonts w:ascii="Arial" w:cs="Arial" w:eastAsia="Arial" w:hAnsi="Arial"/>
          <w:sz w:val="22"/>
          <w:szCs w:val="22"/>
        </w:rPr>
        <w:t xml:space="preserve">Historical DFMEA database — connecting to past DFMEAs would flag when a failure mode has precedent and improve severity calibration</w:t>
      </w:r>
    </w:p>
    <w:p>
      <w:pPr>
        <w:pStyle w:val="ListParagraph"/>
        <w:numPr>
          <w:ilvl w:val="0"/>
          <w:numId w:val="2"/>
        </w:numPr>
        <w:spacing w:after="80"/>
      </w:pPr>
      <w:r>
        <w:rPr>
          <w:rFonts w:ascii="Arial" w:cs="Arial" w:eastAsia="Arial" w:hAnsi="Arial"/>
          <w:sz w:val="22"/>
          <w:szCs w:val="22"/>
        </w:rPr>
        <w:t xml:space="preserve">PFMEA extension — the same architecture applies directly to Process FMEA with only prompt changes</w:t>
      </w:r>
    </w:p>
    <w:p>
      <w:pPr>
        <w:pStyle w:val="ListParagraph"/>
        <w:numPr>
          <w:ilvl w:val="0"/>
          <w:numId w:val="2"/>
        </w:numPr>
        <w:spacing w:after="80"/>
      </w:pPr>
      <w:r>
        <w:rPr>
          <w:rFonts w:ascii="Arial" w:cs="Arial" w:eastAsia="Arial" w:hAnsi="Arial"/>
          <w:sz w:val="22"/>
          <w:szCs w:val="22"/>
        </w:rPr>
        <w:t xml:space="preserve">Multi-user collaborative editing — enabling simultaneous DFMEA review sessions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377" w:sz="4"/>
      </w:pBdr>
      <w:jc w:val="center"/>
    </w:pPr>
    <w:r>
      <w:rPr>
        <w:rFonts w:ascii="Arial" w:cs="Arial" w:eastAsia="Arial" w:hAnsi="Arial"/>
        <w:color w:val="5E7A8A"/>
        <w:sz w:val="18"/>
        <w:szCs w:val="18"/>
      </w:rPr>
      <w:t xml:space="preserve">Revanth Kannan G  |  ED22B063  |  Engineering Design  |  Ashok Leyland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pBdr>
    </w:pPr>
    <w:r>
      <w:rPr>
        <w:rFonts w:ascii="Arial" w:cs="Arial" w:eastAsia="Arial" w:hAnsi="Arial"/>
        <w:color w:val="5E7A8A"/>
        <w:sz w:val="18"/>
        <w:szCs w:val="18"/>
      </w:rPr>
      <w:t xml:space="preserve">AI-Powered DFMEA Generator  |  Internship Report  |  Ashok Leyland / IIT Madras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80"/>
      <w:outlineLvl w:val="0"/>
    </w:pPr>
    <w:rPr>
      <w:rFonts w:ascii="Arial" w:cs="Arial" w:eastAsia="Arial" w:hAnsi="Arial"/>
      <w:b/>
      <w:bCs/>
      <w:color w:val="0A1628"/>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0D7377"/>
      <w:sz w:val="26"/>
      <w:szCs w:val="26"/>
    </w:rPr>
  </w:style>
  <w:style w:type="paragraph" w:styleId="Heading3">
    <w:name w:val="Heading 3"/>
    <w:basedOn w:val="Normal"/>
    <w:next w:val="Normal"/>
    <w:qFormat/>
    <w:pPr>
      <w:spacing w:after="100" w:before="240"/>
      <w:outlineLvl w:val="2"/>
    </w:pPr>
    <w:rPr>
      <w:rFonts w:ascii="Arial" w:cs="Arial" w:eastAsia="Arial" w:hAnsi="Arial"/>
      <w:b/>
      <w:bCs/>
      <w:color w:val="0A162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2026-05-15T10:43:41.733Z</dcterms:created>
  <dcterms:modified xsi:type="dcterms:W3CDTF">2026-05-15T10:43:41.748Z</dcterms:modified>
</cp:coreProperties>
</file>

<file path=docProps/custom.xml><?xml version="1.0" encoding="utf-8"?>
<Properties xmlns="http://schemas.openxmlformats.org/officeDocument/2006/custom-properties" xmlns:vt="http://schemas.openxmlformats.org/officeDocument/2006/docPropsVTypes"/>
</file>