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0445650" w:rsidP="59A0793B" w:rsidRDefault="60445650" w14:paraId="39384C86" w14:textId="1F6C9FCA">
      <w:pPr>
        <w:pStyle w:val="Normal"/>
        <w:spacing w:before="0" w:beforeAutospacing="off" w:after="0" w:afterAutospacing="off"/>
        <w:jc w:val="center"/>
        <w:rPr>
          <w:b w:val="1"/>
          <w:bCs w:val="1"/>
        </w:rPr>
      </w:pPr>
      <w:r w:rsidRPr="59A0793B" w:rsidR="60445650">
        <w:rPr>
          <w:b w:val="1"/>
          <w:bCs w:val="1"/>
        </w:rPr>
        <w:t xml:space="preserve">Revanth Kumar </w:t>
      </w:r>
      <w:r w:rsidRPr="59A0793B" w:rsidR="60445650">
        <w:rPr>
          <w:b w:val="1"/>
          <w:bCs w:val="1"/>
        </w:rPr>
        <w:t>Kanapala</w:t>
      </w:r>
      <w:r w:rsidRPr="59A0793B" w:rsidR="60445650">
        <w:rPr>
          <w:b w:val="1"/>
          <w:bCs w:val="1"/>
        </w:rPr>
        <w:t xml:space="preserve">                                                                                                          16343832  </w:t>
      </w:r>
    </w:p>
    <w:p w:rsidR="60445650" w:rsidP="59A0793B" w:rsidRDefault="60445650" w14:paraId="4D813B9F" w14:textId="4297BFF8">
      <w:pPr>
        <w:pStyle w:val="Normal"/>
        <w:spacing w:before="0" w:beforeAutospacing="off" w:after="0" w:afterAutospacing="off"/>
        <w:jc w:val="center"/>
        <w:rPr>
          <w:b w:val="1"/>
          <w:bCs w:val="1"/>
        </w:rPr>
      </w:pPr>
      <w:r w:rsidRPr="59A0793B" w:rsidR="60445650">
        <w:rPr>
          <w:b w:val="1"/>
          <w:bCs w:val="1"/>
        </w:rPr>
        <w:t xml:space="preserve">   </w:t>
      </w:r>
      <w:r w:rsidRPr="59A0793B" w:rsidR="60445650">
        <w:rPr>
          <w:b w:val="1"/>
          <w:bCs w:val="1"/>
        </w:rPr>
        <w:t>ASSIGNMENT-1</w:t>
      </w:r>
    </w:p>
    <w:p w:rsidR="59A0793B" w:rsidP="59A0793B" w:rsidRDefault="59A0793B" w14:paraId="0ADE9234" w14:textId="6A399454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C45911" w:themeColor="accent2" w:themeTint="FF" w:themeShade="BF"/>
          <w:sz w:val="28"/>
          <w:szCs w:val="28"/>
          <w:u w:val="single"/>
          <w:lang w:val="en-US"/>
        </w:rPr>
      </w:pPr>
      <w:r>
        <w:br/>
      </w:r>
      <w:r w:rsidRPr="59A0793B" w:rsidR="6044565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u w:val="none"/>
          <w:lang w:val="en-US"/>
        </w:rPr>
        <w:t>Data Analysis of Student Performance Dataset Results</w:t>
      </w:r>
    </w:p>
    <w:p w:rsidR="59A0793B" w:rsidP="59A0793B" w:rsidRDefault="59A0793B" w14:paraId="5AEDA772" w14:textId="17723BC0">
      <w:pPr>
        <w:pStyle w:val="Normal"/>
      </w:pPr>
    </w:p>
    <w:p w:rsidR="75678132" w:rsidRDefault="75678132" w14:paraId="18F0A046" w14:textId="5F914E92">
      <w:r w:rsidR="75678132">
        <w:rPr/>
        <w:t>1.</w:t>
      </w:r>
      <w:r w:rsidR="60445650">
        <w:rPr/>
        <w:t xml:space="preserve">This graph illustrates the distribution of individuals by gender within different racial and ethnic groups in each dataset. The dataset categorizes race/ethnicity into five groups: Group A, Group B, Group C, Group D, and Group E. The graph employs red to </w:t>
      </w:r>
      <w:r w:rsidR="60445650">
        <w:rPr/>
        <w:t>represent</w:t>
      </w:r>
      <w:r w:rsidR="60445650">
        <w:rPr/>
        <w:t xml:space="preserve"> the count of females and blue to </w:t>
      </w:r>
      <w:r w:rsidR="60445650">
        <w:rPr/>
        <w:t>represent</w:t>
      </w:r>
      <w:r w:rsidR="60445650">
        <w:rPr/>
        <w:t xml:space="preserve"> the count of males in each of these racial/ethnic categories.</w:t>
      </w:r>
    </w:p>
    <w:p w:rsidR="00296659" w:rsidRDefault="00296659" w14:paraId="5B1DB519" w14:textId="03ADC5CF">
      <w:r w:rsidR="00296659">
        <w:drawing>
          <wp:inline wp14:editId="2411FC3C" wp14:anchorId="26E3DCBA">
            <wp:extent cx="5943600" cy="4346575"/>
            <wp:effectExtent l="0" t="0" r="0" b="0"/>
            <wp:docPr id="429978173" name="Picture 1" descr="A graph of a number of peopl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0fb4fd07c8d4e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59" w:rsidP="59A0793B" w:rsidRDefault="00296659" w14:paraId="6B39F437" w14:textId="38379141">
      <w:pPr>
        <w:rPr>
          <w:b w:val="1"/>
          <w:bCs w:val="1"/>
        </w:rPr>
      </w:pPr>
      <w:r w:rsidRPr="59A0793B" w:rsidR="3230FDE6">
        <w:rPr>
          <w:b w:val="1"/>
          <w:bCs w:val="1"/>
        </w:rPr>
        <w:t>Conclusion:</w:t>
      </w:r>
    </w:p>
    <w:p w:rsidR="00296659" w:rsidP="59A0793B" w:rsidRDefault="00296659" w14:paraId="19DFFEFA" w14:textId="5B3C3E75">
      <w:pPr>
        <w:pStyle w:val="Normal"/>
      </w:pPr>
    </w:p>
    <w:p w:rsidR="00296659" w:rsidRDefault="00296659" w14:paraId="522D8262" w14:textId="72976795">
      <w:r w:rsidR="3230FDE6">
        <w:rPr/>
        <w:t>Evidently, the</w:t>
      </w:r>
      <w:r w:rsidR="3230FDE6">
        <w:rPr/>
        <w:t xml:space="preserve"> majority of both females and males are affiliated with the Group C racial/ethnic category. The second-highest population of both genders is found within the Group D racial/ethnic category. Conversely, the lowest counts of both females and males are associated with the Group A racial/ethnic category.</w:t>
      </w:r>
      <w:r w:rsidR="00296659">
        <w:drawing>
          <wp:inline wp14:editId="44FDFEEA" wp14:anchorId="609ACFB0">
            <wp:extent cx="76200" cy="12700"/>
            <wp:effectExtent l="0" t="0" r="0" b="0"/>
            <wp:docPr id="1911903140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d789d756be643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2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59" w:rsidRDefault="00296659" w14:paraId="20FB8DCC" w14:textId="45185B7E"/>
    <w:p w:rsidR="00296659" w:rsidRDefault="00296659" w14:paraId="427022E2" w14:textId="3CAFC532"/>
    <w:p w:rsidR="00296659" w:rsidRDefault="00296659" w14:paraId="500A9F07" w14:textId="6E21CB51"/>
    <w:p w:rsidR="00296659" w:rsidRDefault="00296659" w14:paraId="3F7B69B0" w14:textId="183DE867">
      <w:r w:rsidR="013B2EFF">
        <w:rPr/>
        <w:t>2.</w:t>
      </w:r>
      <w:r w:rsidR="11FADD45">
        <w:rPr/>
        <w:t xml:space="preserve"> </w:t>
      </w:r>
      <w:r w:rsidR="2A0C62E8">
        <w:rPr/>
        <w:t xml:space="preserve">Histograms have been </w:t>
      </w:r>
      <w:r w:rsidR="2A0C62E8">
        <w:rPr/>
        <w:t>utilized</w:t>
      </w:r>
      <w:r w:rsidR="2A0C62E8">
        <w:rPr/>
        <w:t xml:space="preserve"> to visualize the distribution of Reading, Writing, and Math Scores. On the X-axis, </w:t>
      </w:r>
      <w:r w:rsidR="2A0C62E8">
        <w:rPr/>
        <w:t>you'll</w:t>
      </w:r>
      <w:r w:rsidR="2A0C62E8">
        <w:rPr/>
        <w:t xml:space="preserve"> find the score ranges for these subjects, while the Y-axis </w:t>
      </w:r>
      <w:r w:rsidR="2A0C62E8">
        <w:rPr/>
        <w:t>indicates</w:t>
      </w:r>
      <w:r w:rsidR="2A0C62E8">
        <w:rPr/>
        <w:t xml:space="preserve"> the frequency of occurrence.</w:t>
      </w:r>
      <w:r w:rsidR="6CD69C3D">
        <w:rPr/>
        <w:t xml:space="preserve"> In summary, </w:t>
      </w:r>
      <w:r w:rsidR="6CD69C3D">
        <w:rPr/>
        <w:t>it's</w:t>
      </w:r>
      <w:r w:rsidR="6CD69C3D">
        <w:rPr/>
        <w:t xml:space="preserve"> </w:t>
      </w:r>
      <w:r w:rsidR="6CD69C3D">
        <w:rPr/>
        <w:t>evident</w:t>
      </w:r>
      <w:r w:rsidR="6CD69C3D">
        <w:rPr/>
        <w:t xml:space="preserve"> that most students' Reading, Math, and Writing Scores fall within the 60 to 80 </w:t>
      </w:r>
      <w:r w:rsidR="6CD69C3D">
        <w:rPr/>
        <w:t>range.</w:t>
      </w:r>
    </w:p>
    <w:p w:rsidR="00296659" w:rsidRDefault="00296659" w14:paraId="7218AC46" w14:textId="4C8490E1"/>
    <w:p w:rsidR="00296659" w:rsidP="59A0793B" w:rsidRDefault="00296659" w14:paraId="55ED31E0" w14:textId="1D6EE2A4">
      <w:pPr>
        <w:pStyle w:val="Normal"/>
      </w:pPr>
      <w:r w:rsidR="6CD69C3D">
        <w:drawing>
          <wp:inline wp14:editId="62C25467" wp14:anchorId="333BEB90">
            <wp:extent cx="5943600" cy="4119880"/>
            <wp:effectExtent l="0" t="0" r="0" b="0"/>
            <wp:docPr id="1221631878" name="Picture 3" descr="A group of graphs showing different levels of writing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4ba0911fd624a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41198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59" w:rsidRDefault="00296659" w14:paraId="1B24DDCE" w14:textId="5D85A3B4"/>
    <w:p w:rsidR="00296659" w:rsidRDefault="00296659" w14:paraId="564E2F96" w14:textId="71205009"/>
    <w:p w:rsidR="00296659" w:rsidRDefault="00296659" w14:paraId="31F4014C" w14:textId="0342E64D"/>
    <w:p w:rsidR="00296659" w:rsidRDefault="00296659" w14:paraId="683B0396" w14:textId="7E60EE4F">
      <w:r w:rsidR="6CD69C3D">
        <w:rPr/>
        <w:t>In summary, it's evident that most students' Reading, Math, and Writing Scores fall within the 60 to 80 range.</w:t>
      </w:r>
    </w:p>
    <w:p w:rsidR="00296659" w:rsidRDefault="00296659" w14:paraId="79747400" w14:textId="5F1D5CF2"/>
    <w:p w:rsidR="00296659" w:rsidRDefault="00296659" w14:paraId="5418E487" w14:textId="4471B5D3">
      <w:r w:rsidR="6CD69C3D">
        <w:rPr/>
        <w:t xml:space="preserve">  </w:t>
      </w:r>
    </w:p>
    <w:p w:rsidR="00296659" w:rsidRDefault="00296659" w14:paraId="4921D872" w14:textId="0EC15085"/>
    <w:p w:rsidR="00296659" w:rsidRDefault="00296659" w14:paraId="339E5B04" w14:textId="061F383F"/>
    <w:p w:rsidR="00296659" w:rsidRDefault="00296659" w14:paraId="01E6A5E8" w14:textId="2E549AEB"/>
    <w:p w:rsidR="00296659" w:rsidRDefault="00296659" w14:paraId="0175E8AA" w14:textId="7E190762"/>
    <w:p w:rsidR="00296659" w:rsidRDefault="00296659" w14:paraId="77287DAE" w14:textId="084DCC61"/>
    <w:p w:rsidR="00296659" w:rsidRDefault="00296659" w14:paraId="01D8FF12" w14:textId="4C5709F1"/>
    <w:p w:rsidR="00296659" w:rsidRDefault="00296659" w14:paraId="7CF4DC86" w14:textId="1775F03C"/>
    <w:p w:rsidR="00296659" w:rsidP="59A0793B" w:rsidRDefault="00296659" w14:paraId="003E70A0" w14:textId="32BB65E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F7DE795">
        <w:rPr/>
        <w:t>3.T</w:t>
      </w:r>
      <w:r w:rsidR="6CD69C3D">
        <w:rPr/>
        <w:t xml:space="preserve">he graph </w:t>
      </w:r>
      <w:r w:rsidR="6CD69C3D">
        <w:rPr/>
        <w:t>provides</w:t>
      </w:r>
      <w:r w:rsidR="6CD69C3D">
        <w:rPr/>
        <w:t xml:space="preserve"> a comparative analysis of different score categories between males and females. On the X-axis, </w:t>
      </w:r>
      <w:r w:rsidR="6CD69C3D">
        <w:rPr/>
        <w:t>you'll</w:t>
      </w:r>
      <w:r w:rsidR="6CD69C3D">
        <w:rPr/>
        <w:t xml:space="preserve"> find the score types being examined for each gender, while the Y-axis </w:t>
      </w:r>
      <w:r w:rsidR="6CD69C3D">
        <w:rPr/>
        <w:t>represents</w:t>
      </w:r>
      <w:r w:rsidR="6CD69C3D">
        <w:rPr/>
        <w:t xml:space="preserve"> the corresponding counts.</w:t>
      </w:r>
    </w:p>
    <w:p w:rsidR="00296659" w:rsidP="59A0793B" w:rsidRDefault="00296659" w14:paraId="6AA3AD02" w14:textId="0EA37148">
      <w:pPr>
        <w:pStyle w:val="Normal"/>
      </w:pPr>
      <w:r w:rsidR="6CD69C3D">
        <w:rPr/>
        <w:t xml:space="preserve"> </w:t>
      </w:r>
      <w:r w:rsidR="00296659">
        <w:drawing>
          <wp:inline wp14:editId="79E5F4BE" wp14:anchorId="31A96A4D">
            <wp:extent cx="5943600" cy="4558030"/>
            <wp:effectExtent l="0" t="0" r="0" b="1270"/>
            <wp:docPr id="224863128" name="Picture 4" descr="A graph of different colored bars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66127256c1b14c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C54BD2">
        <w:rPr/>
        <w:t>Based on the data presented in the figure, it's evident that males tend to excel in math, while females tend to achieve higher scores in both reading and writing.</w:t>
      </w:r>
    </w:p>
    <w:p w:rsidR="00296659" w:rsidP="59A0793B" w:rsidRDefault="00296659" w14:paraId="7B629971" w14:textId="2CC46E09">
      <w:pPr>
        <w:pStyle w:val="Normal"/>
      </w:pPr>
      <w:r w:rsidR="28C54BD2">
        <w:rPr/>
        <w:t xml:space="preserve"> </w:t>
      </w:r>
    </w:p>
    <w:p w:rsidR="00296659" w:rsidP="59A0793B" w:rsidRDefault="00296659" w14:paraId="05AE1074" w14:textId="60095ACB">
      <w:pPr>
        <w:pStyle w:val="Normal"/>
      </w:pPr>
      <w:r w:rsidR="28C54BD2">
        <w:rPr/>
        <w:t>In summary, the figure illustrates a trend where males generally outshine females in math, while females exhibit stronger performance in reading and writing.</w:t>
      </w:r>
    </w:p>
    <w:p w:rsidR="005074A1" w:rsidRDefault="00296659" w14:paraId="0DBAADCC" w14:textId="156F7065"/>
    <w:p w:rsidR="005074A1" w:rsidRDefault="00296659" w14:paraId="4A9E5274" w14:textId="0546F0B6"/>
    <w:p w:rsidR="005074A1" w:rsidRDefault="00296659" w14:paraId="402F1FA5" w14:textId="25987CAF"/>
    <w:p w:rsidR="005074A1" w:rsidP="59A0793B" w:rsidRDefault="00296659" w14:paraId="68839314" w14:textId="100FCCB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05074A1" w:rsidP="59A0793B" w:rsidRDefault="00296659" w14:paraId="1521CD8E" w14:textId="00641F2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05074A1" w:rsidP="59A0793B" w:rsidRDefault="00296659" w14:paraId="471A0A1A" w14:textId="6F0BB32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05074A1" w:rsidP="59A0793B" w:rsidRDefault="00296659" w14:paraId="7D45B9B4" w14:textId="27914E3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05074A1" w:rsidP="59A0793B" w:rsidRDefault="00296659" w14:paraId="1CEF6231" w14:textId="58CF8A1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9A0793B" w:rsidR="3F8CD5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4.The graph presents a comparison of score categories in relation to whether students, both male and female, completed a test preparation course. The X-axis distinguishes between those who completed the course and those who did not, while the Y-axis displays the different score types.</w:t>
      </w:r>
      <w:r>
        <w:br/>
      </w:r>
    </w:p>
    <w:p w:rsidR="005074A1" w:rsidP="59A0793B" w:rsidRDefault="00296659" w14:paraId="584FA7C7" w14:textId="49CF6F9A">
      <w:pPr>
        <w:pStyle w:val="Normal"/>
        <w:ind w:left="0"/>
      </w:pPr>
      <w:r w:rsidR="497A0997">
        <w:drawing>
          <wp:inline wp14:editId="22F07946" wp14:anchorId="4E6E96AB">
            <wp:extent cx="5943600" cy="2945765"/>
            <wp:effectExtent l="0" t="0" r="0" b="635"/>
            <wp:docPr id="47243454" name="Picture 5" descr="A group of boxes with text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b853a288bd4a457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94576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A1" w:rsidP="59A0793B" w:rsidRDefault="00296659" w14:paraId="475391F4" w14:textId="63CB663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9A0793B" w:rsidR="497A09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summary, it can be observed that the influence of test preparation courses on student performance varies slightly based on both the type of score and the gender of the students.</w:t>
      </w:r>
    </w:p>
    <w:p w:rsidR="005074A1" w:rsidP="59A0793B" w:rsidRDefault="00296659" w14:paraId="4710E161" w14:textId="3177EE7E">
      <w:pPr>
        <w:pStyle w:val="Normal"/>
        <w:ind w:left="0"/>
      </w:pPr>
      <w:r>
        <w:br/>
      </w:r>
      <w:r>
        <w:br/>
      </w:r>
    </w:p>
    <w:p w:rsidR="005074A1" w:rsidP="59A0793B" w:rsidRDefault="00296659" w14:paraId="337F1138" w14:textId="48568243">
      <w:pPr>
        <w:pStyle w:val="Normal"/>
        <w:ind w:left="0"/>
      </w:pPr>
    </w:p>
    <w:p w:rsidR="005074A1" w:rsidP="59A0793B" w:rsidRDefault="00296659" w14:paraId="0CA75EF7" w14:textId="0F162DB2">
      <w:pPr>
        <w:pStyle w:val="Normal"/>
        <w:ind w:left="0"/>
      </w:pPr>
    </w:p>
    <w:p w:rsidR="005074A1" w:rsidP="59A0793B" w:rsidRDefault="00296659" w14:paraId="2437298F" w14:textId="1667D052">
      <w:pPr>
        <w:pStyle w:val="Normal"/>
        <w:ind w:left="0"/>
      </w:pPr>
    </w:p>
    <w:p w:rsidR="005074A1" w:rsidP="59A0793B" w:rsidRDefault="00296659" w14:paraId="2B249C59" w14:textId="526891ED">
      <w:pPr>
        <w:pStyle w:val="Normal"/>
        <w:ind w:left="0"/>
      </w:pPr>
    </w:p>
    <w:p w:rsidR="005074A1" w:rsidP="59A0793B" w:rsidRDefault="00296659" w14:paraId="6C36ADC3" w14:textId="2EF39FFB">
      <w:pPr>
        <w:pStyle w:val="Normal"/>
        <w:ind w:left="0"/>
      </w:pPr>
    </w:p>
    <w:p w:rsidR="005074A1" w:rsidP="59A0793B" w:rsidRDefault="00296659" w14:paraId="02E7B75D" w14:textId="47295A92">
      <w:pPr>
        <w:pStyle w:val="Normal"/>
        <w:ind w:left="0"/>
      </w:pPr>
    </w:p>
    <w:p w:rsidR="005074A1" w:rsidP="59A0793B" w:rsidRDefault="00296659" w14:paraId="4F921FC6" w14:textId="177BD695">
      <w:pPr>
        <w:pStyle w:val="Normal"/>
        <w:ind w:left="0"/>
      </w:pPr>
    </w:p>
    <w:p w:rsidR="005074A1" w:rsidP="59A0793B" w:rsidRDefault="00296659" w14:paraId="3EEDCED8" w14:textId="215F07CC">
      <w:pPr>
        <w:pStyle w:val="Normal"/>
        <w:ind w:left="0"/>
      </w:pPr>
    </w:p>
    <w:p w:rsidR="005074A1" w:rsidP="59A0793B" w:rsidRDefault="00296659" w14:paraId="5C6E5427" w14:textId="146F1AE1">
      <w:pPr>
        <w:pStyle w:val="Normal"/>
        <w:ind w:left="0"/>
      </w:pPr>
    </w:p>
    <w:p w:rsidR="005074A1" w:rsidP="59A0793B" w:rsidRDefault="00296659" w14:paraId="647BAB62" w14:textId="61988DD9">
      <w:pPr>
        <w:pStyle w:val="Normal"/>
        <w:ind w:left="0"/>
      </w:pPr>
    </w:p>
    <w:p w:rsidR="005074A1" w:rsidP="59A0793B" w:rsidRDefault="00296659" w14:paraId="1DEED368" w14:textId="484A4780">
      <w:pPr>
        <w:pStyle w:val="Normal"/>
        <w:ind w:left="0"/>
      </w:pPr>
      <w:r w:rsidR="00D91B6D">
        <w:rPr/>
        <w:t xml:space="preserve"> </w:t>
      </w:r>
    </w:p>
    <w:p w:rsidR="005074A1" w:rsidP="59A0793B" w:rsidRDefault="00296659" w14:paraId="30BE2E8C" w14:textId="07A22BAF">
      <w:pPr>
        <w:pStyle w:val="Normal"/>
        <w:ind w:left="0"/>
      </w:pPr>
    </w:p>
    <w:p w:rsidR="005074A1" w:rsidP="59A0793B" w:rsidRDefault="00296659" w14:paraId="7352C8DE" w14:textId="34BA188D">
      <w:pPr>
        <w:pStyle w:val="Normal"/>
        <w:ind w:left="0"/>
      </w:pPr>
    </w:p>
    <w:p w:rsidR="005074A1" w:rsidP="59A0793B" w:rsidRDefault="00296659" w14:paraId="309D12DA" w14:textId="3E0BEEBF">
      <w:pPr>
        <w:pStyle w:val="Normal"/>
        <w:ind w:left="0"/>
        <w:rPr>
          <w:u w:val="none"/>
        </w:rPr>
      </w:pPr>
    </w:p>
    <w:p w:rsidR="005074A1" w:rsidP="59A0793B" w:rsidRDefault="00296659" w14:paraId="6F58F02E" w14:textId="2EAD597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="00D91B6D">
        <w:rPr>
          <w:u w:val="none"/>
        </w:rPr>
        <w:t xml:space="preserve">5.To conclude, </w:t>
      </w:r>
      <w:r w:rsidR="00D91B6D">
        <w:rPr>
          <w:u w:val="none"/>
        </w:rPr>
        <w:t>it's</w:t>
      </w:r>
      <w:r w:rsidR="00D91B6D">
        <w:rPr>
          <w:u w:val="none"/>
        </w:rPr>
        <w:t xml:space="preserve"> </w:t>
      </w:r>
      <w:r w:rsidR="00D91B6D">
        <w:rPr>
          <w:u w:val="none"/>
        </w:rPr>
        <w:t>evident</w:t>
      </w:r>
      <w:r w:rsidR="00D91B6D">
        <w:rPr>
          <w:u w:val="none"/>
        </w:rPr>
        <w:t xml:space="preserve"> that the impact of test preparation courses on student performance </w:t>
      </w:r>
      <w:r w:rsidR="00D91B6D">
        <w:rPr>
          <w:u w:val="none"/>
        </w:rPr>
        <w:t>exhibits</w:t>
      </w:r>
      <w:r w:rsidR="00D91B6D">
        <w:rPr>
          <w:u w:val="none"/>
        </w:rPr>
        <w:t xml:space="preserve"> some variability, influenced by both the type of score and the gender of the students</w:t>
      </w:r>
      <w:r w:rsidR="7F0222C7">
        <w:rPr>
          <w:u w:val="none"/>
        </w:rPr>
        <w:t>.</w:t>
      </w:r>
    </w:p>
    <w:p w:rsidR="005074A1" w:rsidP="59A0793B" w:rsidRDefault="00296659" w14:paraId="5E94A934" w14:textId="3AC8DA23">
      <w:pPr>
        <w:pStyle w:val="Normal"/>
        <w:spacing w:before="0" w:beforeAutospacing="off" w:after="0" w:afterAutospacing="off"/>
        <w:rPr>
          <w:u w:val="single"/>
        </w:rPr>
      </w:pPr>
    </w:p>
    <w:p w:rsidR="005074A1" w:rsidP="59A0793B" w:rsidRDefault="00296659" w14:paraId="4AB899AF" w14:textId="4A765E09">
      <w:pPr>
        <w:pStyle w:val="Normal"/>
        <w:spacing w:before="0" w:beforeAutospacing="off" w:after="0" w:afterAutospacing="off"/>
        <w:rPr>
          <w:u w:val="single"/>
        </w:rPr>
      </w:pPr>
    </w:p>
    <w:p w:rsidR="005074A1" w:rsidP="59A0793B" w:rsidRDefault="00296659" w14:paraId="31E2F574" w14:textId="577E28B5">
      <w:pPr>
        <w:pStyle w:val="Normal"/>
        <w:spacing w:before="0" w:beforeAutospacing="off" w:after="0" w:afterAutospacing="off"/>
      </w:pPr>
      <w:r w:rsidR="52100010">
        <w:drawing>
          <wp:inline wp14:editId="2928010C" wp14:anchorId="0734FF8A">
            <wp:extent cx="5078896" cy="4867275"/>
            <wp:effectExtent l="0" t="0" r="0" b="0"/>
            <wp:docPr id="491954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deaecbf19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96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A1" w:rsidP="59A0793B" w:rsidRDefault="00296659" w14:paraId="1A88F4BC" w14:textId="3589C43D">
      <w:pPr>
        <w:pStyle w:val="Normal"/>
        <w:spacing w:before="0" w:beforeAutospacing="off" w:after="0" w:afterAutospacing="off"/>
      </w:pPr>
      <w:r w:rsidR="2E3AF1CB">
        <w:drawing>
          <wp:inline wp14:editId="404078F3" wp14:anchorId="1978DCE9">
            <wp:extent cx="4572000" cy="3400425"/>
            <wp:effectExtent l="0" t="0" r="0" b="0"/>
            <wp:docPr id="3278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e4d95a31f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A1" w:rsidP="59A0793B" w:rsidRDefault="00296659" w14:paraId="616F007D" w14:textId="33A1927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005074A1" w:rsidP="59A0793B" w:rsidRDefault="00296659" w14:paraId="1D12589E" w14:textId="6CBF3D1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59A0793B" w:rsidR="3BEAD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Conclusion</w:t>
      </w:r>
      <w:r w:rsidRPr="59A0793B" w:rsidR="3BEAD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:</w:t>
      </w:r>
    </w:p>
    <w:p w:rsidR="005074A1" w:rsidP="59A0793B" w:rsidRDefault="00296659" w14:paraId="045BE0F0" w14:textId="4B1B86C6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59A0793B" w:rsidR="3BEAD5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005074A1" w:rsidP="59A0793B" w:rsidRDefault="00296659" w14:paraId="221DE637" w14:textId="7308F257">
      <w:pPr>
        <w:pStyle w:val="Normal"/>
        <w:spacing w:before="0" w:beforeAutospacing="off" w:after="0" w:afterAutospacing="off"/>
        <w:jc w:val="both"/>
      </w:pPr>
      <w:r w:rsidRPr="59A0793B" w:rsidR="3BEAD5E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 summary, there is a positive correlation between Reading and Writing Scores, while both Reading and Writing Scores exhibit a negative correlation with Math Scores.</w:t>
      </w:r>
    </w:p>
    <w:p w:rsidR="005074A1" w:rsidP="59A0793B" w:rsidRDefault="00296659" w14:paraId="25D84FCE" w14:textId="5F4E5A6F">
      <w:pPr>
        <w:pStyle w:val="Normal"/>
        <w:ind w:left="0"/>
      </w:pPr>
    </w:p>
    <w:sectPr w:rsidR="005074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EO1Z4Sm7Bq6GS" int2:id="lcaNhzx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8774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bb76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59"/>
    <w:rsid w:val="0000593C"/>
    <w:rsid w:val="00296659"/>
    <w:rsid w:val="005074A1"/>
    <w:rsid w:val="00850C1C"/>
    <w:rsid w:val="00D91B6D"/>
    <w:rsid w:val="00E252A5"/>
    <w:rsid w:val="013B2EFF"/>
    <w:rsid w:val="05AE7B95"/>
    <w:rsid w:val="05F1FB93"/>
    <w:rsid w:val="05F1FB93"/>
    <w:rsid w:val="0781F88A"/>
    <w:rsid w:val="0A81ECB8"/>
    <w:rsid w:val="0C7AAD75"/>
    <w:rsid w:val="11FADD45"/>
    <w:rsid w:val="13B86E24"/>
    <w:rsid w:val="2089E43A"/>
    <w:rsid w:val="2089E43A"/>
    <w:rsid w:val="24717FF0"/>
    <w:rsid w:val="28C54BD2"/>
    <w:rsid w:val="2A0C62E8"/>
    <w:rsid w:val="2E3AF1CB"/>
    <w:rsid w:val="2F0437A3"/>
    <w:rsid w:val="2F7DE795"/>
    <w:rsid w:val="3230FDE6"/>
    <w:rsid w:val="35AD8E33"/>
    <w:rsid w:val="3809B4E6"/>
    <w:rsid w:val="3BEAD5E4"/>
    <w:rsid w:val="3F8CD5EF"/>
    <w:rsid w:val="407A5155"/>
    <w:rsid w:val="497A0997"/>
    <w:rsid w:val="4B481A33"/>
    <w:rsid w:val="4B481A33"/>
    <w:rsid w:val="4BEF9124"/>
    <w:rsid w:val="5142A4BF"/>
    <w:rsid w:val="52100010"/>
    <w:rsid w:val="53317FB8"/>
    <w:rsid w:val="53317FB8"/>
    <w:rsid w:val="564A6972"/>
    <w:rsid w:val="57E639D3"/>
    <w:rsid w:val="59820A34"/>
    <w:rsid w:val="59820A34"/>
    <w:rsid w:val="59A0793B"/>
    <w:rsid w:val="60445650"/>
    <w:rsid w:val="64E373E3"/>
    <w:rsid w:val="66478D60"/>
    <w:rsid w:val="6681D4F5"/>
    <w:rsid w:val="6681D4F5"/>
    <w:rsid w:val="668731CA"/>
    <w:rsid w:val="672F3F38"/>
    <w:rsid w:val="672F3F38"/>
    <w:rsid w:val="6CD69C3D"/>
    <w:rsid w:val="6CF6734E"/>
    <w:rsid w:val="6E355353"/>
    <w:rsid w:val="6FEA4C11"/>
    <w:rsid w:val="702E1410"/>
    <w:rsid w:val="75678132"/>
    <w:rsid w:val="7F02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8BD97"/>
  <w15:chartTrackingRefBased/>
  <w15:docId w15:val="{6589BA52-FF31-A247-A8EF-D7C93FC9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7.png" Id="Ra0fb4fd07c8d4ea2" /><Relationship Type="http://schemas.openxmlformats.org/officeDocument/2006/relationships/image" Target="/media/image8.png" Id="R5d789d756be643b0" /><Relationship Type="http://schemas.openxmlformats.org/officeDocument/2006/relationships/image" Target="/media/image9.png" Id="R94ba0911fd624a51" /><Relationship Type="http://schemas.openxmlformats.org/officeDocument/2006/relationships/image" Target="/media/imagea.png" Id="R66127256c1b14c54" /><Relationship Type="http://schemas.openxmlformats.org/officeDocument/2006/relationships/image" Target="/media/imageb.png" Id="Rb853a288bd4a457b" /><Relationship Type="http://schemas.openxmlformats.org/officeDocument/2006/relationships/image" Target="/media/imagec.png" Id="Re61deaecbf194f61" /><Relationship Type="http://schemas.openxmlformats.org/officeDocument/2006/relationships/image" Target="/media/image.jpg" Id="Rd8ee4d95a31f4386" /><Relationship Type="http://schemas.microsoft.com/office/2020/10/relationships/intelligence" Target="intelligence2.xml" Id="R9bc235d548bf42ab" /><Relationship Type="http://schemas.openxmlformats.org/officeDocument/2006/relationships/numbering" Target="numbering.xml" Id="R64d15f01f82348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Kanapala, Revanth Kumar</dc:creator>
  <keywords/>
  <dc:description/>
  <lastModifiedBy>Sriram, Nikhil Jagadeesh</lastModifiedBy>
  <revision>2</revision>
  <dcterms:created xsi:type="dcterms:W3CDTF">2023-09-27T01:32:00.0000000Z</dcterms:created>
  <dcterms:modified xsi:type="dcterms:W3CDTF">2023-09-27T04:07:40.3893829Z</dcterms:modified>
</coreProperties>
</file>