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ML-KEM lowered object-store throughput only at or near client CPU saturation.</w:t>
      </w:r>
    </w:p>
    <w:p>
      <w:pPr>
        <w:pStyle w:val="Compact"/>
        <w:numPr>
          <w:ilvl w:val="0"/>
          <w:numId w:val="1001"/>
        </w:numPr>
      </w:pPr>
      <w:r>
        <w:t xml:space="preserve">Python client: 4.0 to 4.9 % slower than X25519 when saturated.</w:t>
      </w:r>
    </w:p>
    <w:p>
      <w:pPr>
        <w:pStyle w:val="Compact"/>
        <w:numPr>
          <w:ilvl w:val="0"/>
          <w:numId w:val="1001"/>
        </w:numPr>
      </w:pPr>
      <w:r>
        <w:t xml:space="preserve">Controls on x86 traced that deficit mainly to the library binding.</w:t>
      </w:r>
    </w:p>
    <w:p>
      <w:pPr>
        <w:pStyle w:val="Compact"/>
        <w:numPr>
          <w:ilvl w:val="0"/>
          <w:numId w:val="1001"/>
        </w:numPr>
      </w:pPr>
      <w:r>
        <w:t xml:space="preserve">A native Go reader on one core was 9.5 % slower, so cost depends on implementation.</w:t>
      </w:r>
    </w:p>
    <w:p>
      <w:pPr>
        <w:pStyle w:val="Compact"/>
        <w:numPr>
          <w:ilvl w:val="0"/>
          <w:numId w:val="1001"/>
        </w:numPr>
      </w:pPr>
      <w:r>
        <w:t xml:space="preserve">ML-KEM adds 1,056 bytes of ciphertext per object over X25519.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2026-10-14T09:05:08Z</dcterms:created>
  <dcterms:modified xsi:type="dcterms:W3CDTF">2026-10-14T09:05:08Z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