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A343" w14:textId="77777777" w:rsidR="006A235D" w:rsidRDefault="006A235D">
      <w:pPr>
        <w:spacing w:before="120" w:after="120"/>
      </w:pPr>
    </w:p>
    <w:p w14:paraId="4A7EFD6F" w14:textId="77777777" w:rsidR="006A235D" w:rsidRDefault="00000000">
      <w:pPr>
        <w:spacing w:after="80"/>
        <w:jc w:val="center"/>
      </w:pPr>
      <w:r>
        <w:rPr>
          <w:b/>
          <w:bCs/>
          <w:sz w:val="36"/>
          <w:szCs w:val="36"/>
        </w:rPr>
        <w:t>Regional Sales Performance Analysis Report</w:t>
      </w:r>
    </w:p>
    <w:p w14:paraId="04CD58BB" w14:textId="77777777" w:rsidR="006A235D" w:rsidRDefault="00000000">
      <w:pPr>
        <w:spacing w:before="40" w:after="40"/>
        <w:jc w:val="center"/>
      </w:pPr>
      <w:r>
        <w:t>Superstore Retail Dataset  |  2015 – 2018</w:t>
      </w:r>
    </w:p>
    <w:p w14:paraId="54D1A366" w14:textId="77777777" w:rsidR="006A235D" w:rsidRDefault="006A235D">
      <w:pPr>
        <w:spacing w:before="40" w:after="40"/>
      </w:pPr>
    </w:p>
    <w:p w14:paraId="0DAC24BD" w14:textId="77777777" w:rsidR="006A235D" w:rsidRDefault="006A235D">
      <w:pPr>
        <w:spacing w:before="80" w:after="80"/>
      </w:pPr>
    </w:p>
    <w:p w14:paraId="200A126C" w14:textId="77777777" w:rsidR="006A235D" w:rsidRDefault="00000000">
      <w:pPr>
        <w:spacing w:before="240" w:after="100"/>
      </w:pPr>
      <w:r>
        <w:rPr>
          <w:b/>
          <w:bCs/>
          <w:sz w:val="26"/>
          <w:szCs w:val="26"/>
          <w:u w:val="single"/>
        </w:rPr>
        <w:t>1.  Executive Summary</w:t>
      </w:r>
    </w:p>
    <w:p w14:paraId="3D716FB5" w14:textId="77777777" w:rsidR="006A235D" w:rsidRDefault="00000000">
      <w:pPr>
        <w:spacing w:before="60" w:after="60"/>
        <w:jc w:val="both"/>
      </w:pPr>
      <w:r>
        <w:t>This report presents a structured analysis of regional sales performance for a superstore retail business, based on four years of transactional data covering 9,800 order records across the United States (2015–2018). The analysis covers business-level KPIs, regional revenue breakdowns, category-level sales composition, shipping efficiency, and year-over-year growth trends. All work was completed using Python in Google Colab, with Pandas for data manipulation, Matplotlib and Seaborn for visualisation, and OpenPyXL for the formatted Excel export.</w:t>
      </w:r>
    </w:p>
    <w:p w14:paraId="43D74E9E" w14:textId="77777777" w:rsidR="006A235D" w:rsidRDefault="006A235D">
      <w:pPr>
        <w:spacing w:before="20" w:after="20"/>
      </w:pPr>
    </w:p>
    <w:p w14:paraId="35EFD166" w14:textId="77777777" w:rsidR="006A235D" w:rsidRDefault="00000000">
      <w:pPr>
        <w:spacing w:before="240" w:after="100"/>
      </w:pPr>
      <w:r>
        <w:rPr>
          <w:b/>
          <w:bCs/>
          <w:sz w:val="26"/>
          <w:szCs w:val="26"/>
          <w:u w:val="single"/>
        </w:rPr>
        <w:t>2.  Business KPI Summary</w:t>
      </w:r>
    </w:p>
    <w:p w14:paraId="4C411344" w14:textId="77777777" w:rsidR="006A235D" w:rsidRDefault="00000000">
      <w:pPr>
        <w:spacing w:before="60" w:after="60"/>
        <w:jc w:val="both"/>
      </w:pPr>
      <w:r>
        <w:t>The following top-level key performance indicators were derived from the full dataset using group-level aggregation in Pandas:</w:t>
      </w:r>
    </w:p>
    <w:p w14:paraId="778CF00A" w14:textId="77777777" w:rsidR="006A235D" w:rsidRDefault="006A23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A235D" w14:paraId="203D47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E1B5C0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068C33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A235D" w14:paraId="03BBDB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E67AAB" w14:textId="77777777" w:rsidR="006A235D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FCD673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$2,261,536.78</w:t>
            </w:r>
          </w:p>
        </w:tc>
      </w:tr>
      <w:tr w:rsidR="006A235D" w14:paraId="677C94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F137B7" w14:textId="77777777" w:rsidR="006A235D" w:rsidRDefault="00000000">
            <w:r>
              <w:rPr>
                <w:sz w:val="20"/>
                <w:szCs w:val="20"/>
              </w:rPr>
              <w:t>Total Unique Orders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F343CB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4,922 orders</w:t>
            </w:r>
          </w:p>
        </w:tc>
      </w:tr>
      <w:tr w:rsidR="006A235D" w14:paraId="5C3063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4E06A6" w14:textId="77777777" w:rsidR="006A235D" w:rsidRDefault="00000000">
            <w:r>
              <w:rPr>
                <w:sz w:val="20"/>
                <w:szCs w:val="20"/>
              </w:rPr>
              <w:t>Average Order Value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61E8E5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$459.48</w:t>
            </w:r>
          </w:p>
        </w:tc>
      </w:tr>
      <w:tr w:rsidR="006A235D" w14:paraId="0F1221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245D5" w14:textId="77777777" w:rsidR="006A235D" w:rsidRDefault="00000000">
            <w:r>
              <w:rPr>
                <w:sz w:val="20"/>
                <w:szCs w:val="20"/>
              </w:rPr>
              <w:t>Best Performing Region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DCE5B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West</w:t>
            </w:r>
          </w:p>
        </w:tc>
      </w:tr>
      <w:tr w:rsidR="006A235D" w14:paraId="13B864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9FA853" w14:textId="77777777" w:rsidR="006A235D" w:rsidRDefault="00000000">
            <w:r>
              <w:rPr>
                <w:sz w:val="20"/>
                <w:szCs w:val="20"/>
              </w:rPr>
              <w:t>Best Performing Category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094568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Technology</w:t>
            </w:r>
          </w:p>
        </w:tc>
      </w:tr>
    </w:tbl>
    <w:p w14:paraId="23FAF5AD" w14:textId="77777777" w:rsidR="006A235D" w:rsidRDefault="006A235D">
      <w:pPr>
        <w:spacing w:before="80" w:after="80"/>
      </w:pPr>
    </w:p>
    <w:p w14:paraId="6DAFA37E" w14:textId="77777777" w:rsidR="006A235D" w:rsidRDefault="00000000">
      <w:pPr>
        <w:spacing w:before="60" w:after="60"/>
        <w:jc w:val="both"/>
      </w:pPr>
      <w:r>
        <w:t>Technology is the highest-revenue product category across all regions, and the West region contributes the single largest share of total revenue at 31.4%. These headline figures point to a geographically and category-concentrated revenue profile, explored further below.</w:t>
      </w:r>
    </w:p>
    <w:p w14:paraId="06201B14" w14:textId="77777777" w:rsidR="006A235D" w:rsidRDefault="006A235D">
      <w:pPr>
        <w:spacing w:before="20" w:after="20"/>
      </w:pPr>
    </w:p>
    <w:p w14:paraId="18BB7CF3" w14:textId="77777777" w:rsidR="006A235D" w:rsidRDefault="00000000">
      <w:pPr>
        <w:spacing w:before="240" w:after="100"/>
      </w:pPr>
      <w:r>
        <w:rPr>
          <w:b/>
          <w:bCs/>
          <w:sz w:val="26"/>
          <w:szCs w:val="26"/>
          <w:u w:val="single"/>
        </w:rPr>
        <w:t>3.  Regional Performance Breakdown</w:t>
      </w:r>
    </w:p>
    <w:p w14:paraId="6BB52FF8" w14:textId="77777777" w:rsidR="006A235D" w:rsidRDefault="00000000">
      <w:pPr>
        <w:spacing w:before="60" w:after="60"/>
        <w:jc w:val="both"/>
      </w:pPr>
      <w:r>
        <w:t>Sales were aggregated by region to produce a summary covering total revenue, order volume, average order value, average shipping days, and percentage share of total sales.</w:t>
      </w:r>
    </w:p>
    <w:p w14:paraId="20FE380E" w14:textId="77777777" w:rsidR="006A235D" w:rsidRDefault="006A23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400"/>
        <w:gridCol w:w="1760"/>
        <w:gridCol w:w="1600"/>
        <w:gridCol w:w="1000"/>
      </w:tblGrid>
      <w:tr w:rsidR="006A235D" w14:paraId="329669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B92768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29B513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Sales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449C8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5F5A1E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Order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111BBF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Ship Days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6248FB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</w:tr>
      <w:tr w:rsidR="006A235D" w14:paraId="3C37A4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583752" w14:textId="77777777" w:rsidR="006A235D" w:rsidRDefault="00000000">
            <w:r>
              <w:rPr>
                <w:sz w:val="20"/>
                <w:szCs w:val="20"/>
              </w:rPr>
              <w:t>West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4F2244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$710,219.68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E241ED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1,587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07F5EB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$226.18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720387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3.93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FE0CA3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31.4%</w:t>
            </w:r>
          </w:p>
        </w:tc>
      </w:tr>
      <w:tr w:rsidR="006A235D" w14:paraId="2E2ABB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B65EEA" w14:textId="77777777" w:rsidR="006A235D" w:rsidRDefault="00000000">
            <w:r>
              <w:rPr>
                <w:sz w:val="20"/>
                <w:szCs w:val="20"/>
              </w:rPr>
              <w:t>East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640277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$669,518.73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BF3F55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1,369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ED913E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$240.40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9F0E9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3.91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CBD803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29.6%</w:t>
            </w:r>
          </w:p>
        </w:tc>
      </w:tr>
      <w:tr w:rsidR="006A235D" w14:paraId="70CF0B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75DFC8" w14:textId="77777777" w:rsidR="006A235D" w:rsidRDefault="00000000">
            <w:r>
              <w:rPr>
                <w:sz w:val="20"/>
                <w:szCs w:val="20"/>
              </w:rPr>
              <w:t>Central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16D4F9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$492,646.91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F51BB8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1,156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350B5B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$216.36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016DAA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4.07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D8D0CD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21.8%</w:t>
            </w:r>
          </w:p>
        </w:tc>
      </w:tr>
      <w:tr w:rsidR="006A235D" w14:paraId="1DEF0B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EED091" w14:textId="77777777" w:rsidR="006A235D" w:rsidRDefault="00000000">
            <w:r>
              <w:rPr>
                <w:sz w:val="20"/>
                <w:szCs w:val="20"/>
              </w:rPr>
              <w:t>South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C4275C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$389,151.46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26E8B5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810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BA645D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$243.52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8F9F5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3.96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8A125A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17.2%</w:t>
            </w:r>
          </w:p>
        </w:tc>
      </w:tr>
    </w:tbl>
    <w:p w14:paraId="769AAF48" w14:textId="77777777" w:rsidR="006A235D" w:rsidRDefault="006A235D">
      <w:pPr>
        <w:spacing w:before="80" w:after="80"/>
      </w:pPr>
    </w:p>
    <w:p w14:paraId="27434A8E" w14:textId="77777777" w:rsidR="006A235D" w:rsidRDefault="00000000">
      <w:pPr>
        <w:spacing w:before="160" w:after="80"/>
      </w:pPr>
      <w:r>
        <w:rPr>
          <w:b/>
          <w:bCs/>
          <w:sz w:val="23"/>
          <w:szCs w:val="23"/>
        </w:rPr>
        <w:t>Key Observations</w:t>
      </w:r>
    </w:p>
    <w:p w14:paraId="5B8FE48E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The West region leads in total revenue ($710,219.68) and order volume (1,587 orders), accounting for nearly a third of all company sales.</w:t>
      </w:r>
    </w:p>
    <w:p w14:paraId="3A3FF38D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The East region follows closely at $669,518.73 with the highest average order value at $240.40, suggesting higher-value individual transactions.</w:t>
      </w:r>
    </w:p>
    <w:p w14:paraId="426F4B81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The Central region ranks third but has the lowest average order value ($216.36) and the slowest average shipping time (4.07 days) among all four regions.</w:t>
      </w:r>
    </w:p>
    <w:p w14:paraId="42B06130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The South region generates the lowest total revenue but has the second-highest average order value ($243.52), indicating fewer but higher-value transactions.</w:t>
      </w:r>
    </w:p>
    <w:p w14:paraId="038D59AA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Shipping times are closely clustered across all regions (3.91–4.07 days), reflecting a consistent national logistics operation.</w:t>
      </w:r>
    </w:p>
    <w:p w14:paraId="60B57F76" w14:textId="77777777" w:rsidR="006A235D" w:rsidRDefault="006A235D">
      <w:pPr>
        <w:spacing w:before="20" w:after="20"/>
      </w:pPr>
    </w:p>
    <w:p w14:paraId="2DE7AE41" w14:textId="77777777" w:rsidR="006A235D" w:rsidRDefault="00000000">
      <w:pPr>
        <w:spacing w:before="240" w:after="100"/>
      </w:pPr>
      <w:r>
        <w:rPr>
          <w:b/>
          <w:bCs/>
          <w:sz w:val="26"/>
          <w:szCs w:val="26"/>
          <w:u w:val="single"/>
        </w:rPr>
        <w:t>4.  Sales by Region and Product Category</w:t>
      </w:r>
    </w:p>
    <w:p w14:paraId="2C14CC08" w14:textId="77777777" w:rsidR="006A235D" w:rsidRDefault="00000000">
      <w:pPr>
        <w:spacing w:before="60" w:after="60"/>
        <w:jc w:val="both"/>
      </w:pPr>
      <w:r>
        <w:t>Sales were cross-tabulated by region and product category to reveal the contribution of Furniture, Office Supplies, and Technology within each geographic market.</w:t>
      </w:r>
    </w:p>
    <w:p w14:paraId="34E40F45" w14:textId="77777777" w:rsidR="006A235D" w:rsidRDefault="006A23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100"/>
        <w:gridCol w:w="2100"/>
        <w:gridCol w:w="1360"/>
      </w:tblGrid>
      <w:tr w:rsidR="006A235D" w14:paraId="1EE1FE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AA508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09EB03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Furniture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89BA64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Office Supplies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C0622D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8315A3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6A235D" w14:paraId="024202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8CC4B" w14:textId="77777777" w:rsidR="006A235D" w:rsidRDefault="00000000">
            <w:r>
              <w:rPr>
                <w:sz w:val="20"/>
                <w:szCs w:val="20"/>
              </w:rPr>
              <w:t>West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F23928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$245,348.25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877A31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$217,466.51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67684A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$247,404.93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18CB74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$710,219.69</w:t>
            </w:r>
          </w:p>
        </w:tc>
      </w:tr>
      <w:tr w:rsidR="006A235D" w14:paraId="6C4B78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6893CB" w14:textId="77777777" w:rsidR="006A235D" w:rsidRDefault="00000000">
            <w:r>
              <w:rPr>
                <w:sz w:val="20"/>
                <w:szCs w:val="20"/>
              </w:rPr>
              <w:t>East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FAB1E7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$206,461.39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87F5FC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$199,940.81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F4A32F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$263,116.53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5055D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$669,518.73</w:t>
            </w:r>
          </w:p>
        </w:tc>
      </w:tr>
      <w:tr w:rsidR="006A235D" w14:paraId="3B2A5B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5EB883" w14:textId="77777777" w:rsidR="006A235D" w:rsidRDefault="00000000">
            <w:r>
              <w:rPr>
                <w:sz w:val="20"/>
                <w:szCs w:val="20"/>
              </w:rPr>
              <w:t>Central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D94A24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$160,317.46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FE04AC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$163,590.24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05F9CC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$168,739.21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4CF39A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$492,646.91</w:t>
            </w:r>
          </w:p>
        </w:tc>
      </w:tr>
      <w:tr w:rsidR="006A235D" w14:paraId="20CF13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0E9184" w14:textId="77777777" w:rsidR="006A235D" w:rsidRDefault="00000000">
            <w:r>
              <w:rPr>
                <w:sz w:val="20"/>
                <w:szCs w:val="20"/>
              </w:rPr>
              <w:t>South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F15AB5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$116,531.48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319EDC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$124,424.77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A80DE0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$148,195.21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292DCF" w14:textId="77777777" w:rsidR="006A235D" w:rsidRDefault="00000000">
            <w:pPr>
              <w:jc w:val="right"/>
            </w:pPr>
            <w:r>
              <w:rPr>
                <w:sz w:val="20"/>
                <w:szCs w:val="20"/>
              </w:rPr>
              <w:t>$389,151.46</w:t>
            </w:r>
          </w:p>
        </w:tc>
      </w:tr>
    </w:tbl>
    <w:p w14:paraId="431C8910" w14:textId="77777777" w:rsidR="006A235D" w:rsidRDefault="006A235D">
      <w:pPr>
        <w:spacing w:before="80" w:after="80"/>
      </w:pPr>
    </w:p>
    <w:p w14:paraId="38C302A1" w14:textId="77777777" w:rsidR="006A235D" w:rsidRDefault="00000000">
      <w:pPr>
        <w:spacing w:before="160" w:after="80"/>
      </w:pPr>
      <w:r>
        <w:rPr>
          <w:b/>
          <w:bCs/>
          <w:sz w:val="23"/>
          <w:szCs w:val="23"/>
        </w:rPr>
        <w:t>Key Observations</w:t>
      </w:r>
    </w:p>
    <w:p w14:paraId="2C48AFD5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Technology is the top-selling category in every region. The East records the highest Technology revenue at $263,116.53.</w:t>
      </w:r>
    </w:p>
    <w:p w14:paraId="7B8E53F2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In the West, Furniture and Technology are nearly equal in value, showing a more balanced product mix than other regions.</w:t>
      </w:r>
    </w:p>
    <w:p w14:paraId="1E375564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Office Supplies maintains steady demand across all regions, never falling below $124,000, indicating consistent consumable purchasing behaviour.</w:t>
      </w:r>
    </w:p>
    <w:p w14:paraId="4BD39526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The Central region has the most evenly spread category distribution, with all three falling between $160,317 and $168,739.</w:t>
      </w:r>
    </w:p>
    <w:p w14:paraId="0F0DB903" w14:textId="77777777" w:rsidR="006A235D" w:rsidRDefault="006A235D">
      <w:pPr>
        <w:spacing w:before="20" w:after="20"/>
      </w:pPr>
    </w:p>
    <w:p w14:paraId="1C7F5247" w14:textId="77777777" w:rsidR="006A235D" w:rsidRDefault="00000000">
      <w:pPr>
        <w:spacing w:before="240" w:after="100"/>
      </w:pPr>
      <w:r>
        <w:rPr>
          <w:b/>
          <w:bCs/>
          <w:sz w:val="26"/>
          <w:szCs w:val="26"/>
          <w:u w:val="single"/>
        </w:rPr>
        <w:t>5.  Shipping Efficiency Analysis</w:t>
      </w:r>
    </w:p>
    <w:p w14:paraId="5B842B62" w14:textId="77777777" w:rsidR="006A235D" w:rsidRDefault="00000000">
      <w:pPr>
        <w:spacing w:before="60" w:after="60"/>
        <w:jc w:val="both"/>
      </w:pPr>
      <w:r>
        <w:t>The Days to Ship metric was calculated for each order by subtracting the Order Date from the Ship Date. Regional averages were then derived to assess fulfilment speed across geographies.</w:t>
      </w:r>
    </w:p>
    <w:p w14:paraId="78813447" w14:textId="77777777" w:rsidR="006A235D" w:rsidRDefault="006A23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A235D" w14:paraId="6EF0B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BF744B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DD1552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Days to Ship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87CDD8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Performance Note</w:t>
            </w:r>
          </w:p>
        </w:tc>
      </w:tr>
      <w:tr w:rsidR="006A235D" w14:paraId="79035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8CACD6" w14:textId="77777777" w:rsidR="006A235D" w:rsidRDefault="00000000">
            <w:r>
              <w:rPr>
                <w:sz w:val="20"/>
                <w:szCs w:val="20"/>
              </w:rPr>
              <w:t>East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CF63AF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3.91 days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301787" w14:textId="77777777" w:rsidR="006A235D" w:rsidRDefault="00000000">
            <w:r>
              <w:rPr>
                <w:sz w:val="20"/>
                <w:szCs w:val="20"/>
              </w:rPr>
              <w:t>Fastest region — most efficient fulfilment</w:t>
            </w:r>
          </w:p>
        </w:tc>
      </w:tr>
      <w:tr w:rsidR="006A235D" w14:paraId="466F2D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55EF8" w14:textId="77777777" w:rsidR="006A235D" w:rsidRDefault="00000000">
            <w:r>
              <w:rPr>
                <w:sz w:val="20"/>
                <w:szCs w:val="20"/>
              </w:rPr>
              <w:lastRenderedPageBreak/>
              <w:t>West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C91327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3.93 days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F0AECF" w14:textId="77777777" w:rsidR="006A235D" w:rsidRDefault="00000000">
            <w:r>
              <w:rPr>
                <w:sz w:val="20"/>
                <w:szCs w:val="20"/>
              </w:rPr>
              <w:t>Near-identical to East — strong performance</w:t>
            </w:r>
          </w:p>
        </w:tc>
      </w:tr>
      <w:tr w:rsidR="006A235D" w14:paraId="741121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B87A1" w14:textId="77777777" w:rsidR="006A235D" w:rsidRDefault="00000000">
            <w:r>
              <w:rPr>
                <w:sz w:val="20"/>
                <w:szCs w:val="20"/>
              </w:rPr>
              <w:t>South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CEF3A5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3.96 days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65D7B6" w14:textId="77777777" w:rsidR="006A235D" w:rsidRDefault="00000000">
            <w:r>
              <w:rPr>
                <w:sz w:val="20"/>
                <w:szCs w:val="20"/>
              </w:rPr>
              <w:t>Marginally slower but within acceptable range</w:t>
            </w:r>
          </w:p>
        </w:tc>
      </w:tr>
      <w:tr w:rsidR="006A235D" w14:paraId="61E1A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440663" w14:textId="77777777" w:rsidR="006A235D" w:rsidRDefault="00000000">
            <w:r>
              <w:rPr>
                <w:sz w:val="20"/>
                <w:szCs w:val="20"/>
              </w:rPr>
              <w:t>Central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5E931" w14:textId="77777777" w:rsidR="006A235D" w:rsidRDefault="00000000">
            <w:pPr>
              <w:jc w:val="center"/>
            </w:pPr>
            <w:r>
              <w:rPr>
                <w:sz w:val="20"/>
                <w:szCs w:val="20"/>
              </w:rPr>
              <w:t>4.07 days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BFE5DA" w14:textId="77777777" w:rsidR="006A235D" w:rsidRDefault="00000000">
            <w:r>
              <w:rPr>
                <w:sz w:val="20"/>
                <w:szCs w:val="20"/>
              </w:rPr>
              <w:t>Slowest region — opportunity for logistics review</w:t>
            </w:r>
          </w:p>
        </w:tc>
      </w:tr>
    </w:tbl>
    <w:p w14:paraId="291D1F72" w14:textId="77777777" w:rsidR="006A235D" w:rsidRDefault="006A235D">
      <w:pPr>
        <w:spacing w:before="80" w:after="80"/>
      </w:pPr>
    </w:p>
    <w:p w14:paraId="5D4C25F7" w14:textId="77777777" w:rsidR="006A235D" w:rsidRDefault="00000000">
      <w:pPr>
        <w:spacing w:before="60" w:after="60"/>
        <w:jc w:val="both"/>
      </w:pPr>
      <w:r>
        <w:t>Shipping performance is consistent overall, with all four regions falling within a 0.16-day range. The Central region is the only one marginally above the 4-day threshold and may benefit from a review of warehouse-to-carrier processes.</w:t>
      </w:r>
    </w:p>
    <w:p w14:paraId="4D594E7E" w14:textId="77777777" w:rsidR="006A235D" w:rsidRDefault="006A235D">
      <w:pPr>
        <w:spacing w:before="20" w:after="20"/>
      </w:pPr>
    </w:p>
    <w:p w14:paraId="762528D6" w14:textId="77777777" w:rsidR="006A235D" w:rsidRDefault="00000000">
      <w:pPr>
        <w:spacing w:before="240" w:after="100"/>
      </w:pPr>
      <w:r>
        <w:rPr>
          <w:b/>
          <w:bCs/>
          <w:sz w:val="26"/>
          <w:szCs w:val="26"/>
          <w:u w:val="single"/>
        </w:rPr>
        <w:t>6.  Year-over-Year Sales Trends</w:t>
      </w:r>
    </w:p>
    <w:p w14:paraId="0A9C9D9F" w14:textId="77777777" w:rsidR="006A235D" w:rsidRDefault="00000000">
      <w:pPr>
        <w:spacing w:before="60" w:after="60"/>
        <w:jc w:val="both"/>
      </w:pPr>
      <w:r>
        <w:t>Annual sales were aggregated per region for each of the four years (2015–2018) and plotted as a multi-line trend chart. The following observations were derived from the visualisation:</w:t>
      </w:r>
    </w:p>
    <w:p w14:paraId="35578440" w14:textId="77777777" w:rsidR="006A235D" w:rsidRDefault="006A235D">
      <w:pPr>
        <w:spacing w:before="40" w:after="40"/>
      </w:pPr>
    </w:p>
    <w:p w14:paraId="79795A85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All four regions show positive year-on-year revenue growth, confirming consistent business expansion across the full period.</w:t>
      </w:r>
    </w:p>
    <w:p w14:paraId="3F92A743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The West region maintains its revenue lead throughout and shows the steepest absolute growth over the four years.</w:t>
      </w:r>
    </w:p>
    <w:p w14:paraId="7827946C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The East region grows strongly and narrows the gap with the West in 2017–2018, reflecting increased market activity in that geography.</w:t>
      </w:r>
    </w:p>
    <w:p w14:paraId="2175E055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The Central region grows at a moderate but stable rate without any year-on-year decline.</w:t>
      </w:r>
    </w:p>
    <w:p w14:paraId="422BE256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The South, while the smallest contributor, also grows consistently and may represent an under-served market with development potential.</w:t>
      </w:r>
    </w:p>
    <w:p w14:paraId="2896E5B2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A common acceleration in growth rate is visible across all regions between 2016 and 2017, possibly linked to improved sales operations or product expansion during that period.</w:t>
      </w:r>
    </w:p>
    <w:p w14:paraId="3FF69915" w14:textId="77777777" w:rsidR="006A235D" w:rsidRDefault="006A235D">
      <w:pPr>
        <w:spacing w:before="20" w:after="20"/>
      </w:pPr>
    </w:p>
    <w:p w14:paraId="725B960A" w14:textId="77777777" w:rsidR="006A235D" w:rsidRDefault="00000000">
      <w:pPr>
        <w:spacing w:before="240" w:after="100"/>
      </w:pPr>
      <w:r>
        <w:rPr>
          <w:b/>
          <w:bCs/>
          <w:sz w:val="26"/>
          <w:szCs w:val="26"/>
          <w:u w:val="single"/>
        </w:rPr>
        <w:t>7.  Methodology</w:t>
      </w:r>
    </w:p>
    <w:p w14:paraId="3E97EE8D" w14:textId="77777777" w:rsidR="006A235D" w:rsidRDefault="006A23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A235D" w14:paraId="5A4CE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766DF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225612" w14:textId="77777777" w:rsidR="006A23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6A235D" w14:paraId="62F3D5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C5556" w14:textId="77777777" w:rsidR="006A235D" w:rsidRDefault="00000000">
            <w:r>
              <w:rPr>
                <w:sz w:val="20"/>
                <w:szCs w:val="20"/>
              </w:rPr>
              <w:t>Data Loading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2A294" w14:textId="77777777" w:rsidR="006A235D" w:rsidRDefault="00000000">
            <w:r>
              <w:rPr>
                <w:sz w:val="20"/>
                <w:szCs w:val="20"/>
              </w:rPr>
              <w:t>Loaded train.csv from Google Drive using Pandas read_csv</w:t>
            </w:r>
          </w:p>
        </w:tc>
      </w:tr>
      <w:tr w:rsidR="006A235D" w14:paraId="70F44A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53FDCD" w14:textId="77777777" w:rsidR="006A235D" w:rsidRDefault="00000000">
            <w:r>
              <w:rPr>
                <w:sz w:val="20"/>
                <w:szCs w:val="20"/>
              </w:rPr>
              <w:t>Date Parsing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3C862E" w14:textId="77777777" w:rsidR="006A235D" w:rsidRDefault="00000000">
            <w:r>
              <w:rPr>
                <w:sz w:val="20"/>
                <w:szCs w:val="20"/>
              </w:rPr>
              <w:t>Converted Order Date and Ship Date to datetime with dayfirst=True</w:t>
            </w:r>
          </w:p>
        </w:tc>
      </w:tr>
      <w:tr w:rsidR="006A235D" w14:paraId="4E6C27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ED68D5" w14:textId="77777777" w:rsidR="006A235D" w:rsidRDefault="00000000">
            <w:r>
              <w:rPr>
                <w:sz w:val="20"/>
                <w:szCs w:val="20"/>
              </w:rPr>
              <w:t>Feature Derivation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B9190" w14:textId="77777777" w:rsidR="006A235D" w:rsidRDefault="00000000">
            <w:r>
              <w:rPr>
                <w:sz w:val="20"/>
                <w:szCs w:val="20"/>
              </w:rPr>
              <w:t xml:space="preserve">Extracted Year, Month, </w:t>
            </w:r>
            <w:proofErr w:type="gramStart"/>
            <w:r>
              <w:rPr>
                <w:sz w:val="20"/>
                <w:szCs w:val="20"/>
              </w:rPr>
              <w:t>Quarter</w:t>
            </w:r>
            <w:proofErr w:type="gramEnd"/>
            <w:r>
              <w:rPr>
                <w:sz w:val="20"/>
                <w:szCs w:val="20"/>
              </w:rPr>
              <w:t xml:space="preserve"> and calculated Days_to_Ship</w:t>
            </w:r>
          </w:p>
        </w:tc>
      </w:tr>
      <w:tr w:rsidR="006A235D" w14:paraId="28D4E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34C381" w14:textId="77777777" w:rsidR="006A235D" w:rsidRDefault="00000000">
            <w:r>
              <w:rPr>
                <w:sz w:val="20"/>
                <w:szCs w:val="20"/>
              </w:rPr>
              <w:t>KPI Aggregation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3CE974" w14:textId="07C3DF27" w:rsidR="006A235D" w:rsidRDefault="00000000">
            <w:r>
              <w:rPr>
                <w:sz w:val="20"/>
                <w:szCs w:val="20"/>
              </w:rPr>
              <w:t xml:space="preserve">Used </w:t>
            </w:r>
            <w:r w:rsidR="00CD3914">
              <w:rPr>
                <w:sz w:val="20"/>
                <w:szCs w:val="20"/>
              </w:rPr>
              <w:t>group by</w:t>
            </w:r>
            <w:r>
              <w:rPr>
                <w:sz w:val="20"/>
                <w:szCs w:val="20"/>
              </w:rPr>
              <w:t xml:space="preserve"> and agg for region-level and category-level summaries</w:t>
            </w:r>
          </w:p>
        </w:tc>
      </w:tr>
      <w:tr w:rsidR="006A235D" w14:paraId="2E1438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8DFA6D" w14:textId="77777777" w:rsidR="006A235D" w:rsidRDefault="00000000">
            <w:r>
              <w:rPr>
                <w:sz w:val="20"/>
                <w:szCs w:val="20"/>
              </w:rPr>
              <w:t>Visualisation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CDBAC" w14:textId="77777777" w:rsidR="006A235D" w:rsidRDefault="00000000">
            <w:r>
              <w:rPr>
                <w:sz w:val="20"/>
                <w:szCs w:val="20"/>
              </w:rPr>
              <w:t>4-panel dashboard (bar, pie, stacked bar, horizontal bar) and YoY line chart via Matplotlib</w:t>
            </w:r>
          </w:p>
        </w:tc>
      </w:tr>
      <w:tr w:rsidR="006A235D" w14:paraId="7C9E89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C9E4EA" w14:textId="77777777" w:rsidR="006A235D" w:rsidRDefault="00000000">
            <w:r>
              <w:rPr>
                <w:sz w:val="20"/>
                <w:szCs w:val="20"/>
              </w:rPr>
              <w:t>Excel Export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5FDC98" w14:textId="77777777" w:rsidR="006A235D" w:rsidRDefault="00000000">
            <w:r>
              <w:rPr>
                <w:sz w:val="20"/>
                <w:szCs w:val="20"/>
              </w:rPr>
              <w:t>Formatted workbook built with OpenPyXL including custom fonts, fills, and styling</w:t>
            </w:r>
          </w:p>
        </w:tc>
      </w:tr>
    </w:tbl>
    <w:p w14:paraId="6900D0D8" w14:textId="77777777" w:rsidR="006A235D" w:rsidRDefault="006A235D">
      <w:pPr>
        <w:spacing w:before="20" w:after="20"/>
      </w:pPr>
    </w:p>
    <w:p w14:paraId="5F58DE56" w14:textId="77777777" w:rsidR="006A235D" w:rsidRDefault="00000000">
      <w:pPr>
        <w:spacing w:before="240" w:after="100"/>
      </w:pPr>
      <w:r>
        <w:rPr>
          <w:b/>
          <w:bCs/>
          <w:sz w:val="26"/>
          <w:szCs w:val="26"/>
          <w:u w:val="single"/>
        </w:rPr>
        <w:t>8.  Conclusions and Recommendations</w:t>
      </w:r>
    </w:p>
    <w:p w14:paraId="6F566A59" w14:textId="77777777" w:rsidR="006A235D" w:rsidRDefault="00000000">
      <w:pPr>
        <w:spacing w:before="60" w:after="60"/>
        <w:jc w:val="both"/>
      </w:pPr>
      <w:r>
        <w:lastRenderedPageBreak/>
        <w:t>This analysis provides a clear view of regional sales performance and operational efficiency across a four-year period. The business is growing steadily, with Technology as the primary revenue driver and the West region as the top-performing territory.</w:t>
      </w:r>
    </w:p>
    <w:p w14:paraId="613AC1C1" w14:textId="77777777" w:rsidR="006A235D" w:rsidRDefault="006A235D">
      <w:pPr>
        <w:spacing w:before="40" w:after="40"/>
      </w:pPr>
    </w:p>
    <w:p w14:paraId="2627F8D5" w14:textId="77777777" w:rsidR="006A235D" w:rsidRDefault="00000000">
      <w:pPr>
        <w:spacing w:before="160" w:after="80"/>
      </w:pPr>
      <w:r>
        <w:rPr>
          <w:b/>
          <w:bCs/>
          <w:sz w:val="23"/>
          <w:szCs w:val="23"/>
        </w:rPr>
        <w:t>Strategic Recommendations</w:t>
      </w:r>
    </w:p>
    <w:p w14:paraId="6681D68C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Invest further in the West and East regions, which together account for over 61% of total revenue and show strong growth momentum year on year.</w:t>
      </w:r>
    </w:p>
    <w:p w14:paraId="1E10AA87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Conduct a logistics review for the Central region, where both average order value and shipping speed are below the all-region average.</w:t>
      </w:r>
    </w:p>
    <w:p w14:paraId="006AC594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Develop targeted growth strategies for the South region. Its high average order value ($243.52) suggests a quality customer base that is currently under-served in terms of volume.</w:t>
      </w:r>
    </w:p>
    <w:p w14:paraId="1B2A6BA6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Capitalise on Technology’s cross-regional dominance by prioritising stock availability and promotions across all regions, particularly the South.</w:t>
      </w:r>
    </w:p>
    <w:p w14:paraId="45709194" w14:textId="77777777" w:rsidR="006A235D" w:rsidRDefault="00000000">
      <w:pPr>
        <w:pStyle w:val="ListParagraph"/>
        <w:numPr>
          <w:ilvl w:val="0"/>
          <w:numId w:val="2"/>
        </w:numPr>
        <w:spacing w:before="40" w:after="40"/>
      </w:pPr>
      <w:r>
        <w:t>Investigate the 2016–2017 growth acceleration to identify and replicate the factors driving above-trend performance in that period.</w:t>
      </w:r>
    </w:p>
    <w:p w14:paraId="0A8DAAAE" w14:textId="77777777" w:rsidR="006A235D" w:rsidRDefault="006A235D">
      <w:pPr>
        <w:spacing w:before="40" w:after="40"/>
      </w:pPr>
    </w:p>
    <w:p w14:paraId="77D99127" w14:textId="1EA66873" w:rsidR="006A235D" w:rsidRDefault="00000000">
      <w:pPr>
        <w:spacing w:before="60" w:after="60"/>
        <w:jc w:val="both"/>
      </w:pPr>
      <w:r>
        <w:t xml:space="preserve">This project demonstrates a complete business analytics workflow from raw data ingestion to actionable </w:t>
      </w:r>
      <w:r w:rsidR="00CD3914">
        <w:t>insight and</w:t>
      </w:r>
      <w:r>
        <w:t xml:space="preserve"> forms a solid foundation for further work in forecasting, customer segmentation, and profitability analysis.</w:t>
      </w:r>
    </w:p>
    <w:p w14:paraId="483410D8" w14:textId="77777777" w:rsidR="006A235D" w:rsidRDefault="006A235D">
      <w:pPr>
        <w:spacing w:before="80" w:after="80"/>
      </w:pPr>
    </w:p>
    <w:sectPr w:rsidR="006A235D">
      <w:pgSz w:w="12240" w:h="15840"/>
      <w:pgMar w:top="1080" w:right="1080" w:bottom="1080" w:left="1080" w:header="708" w:footer="708" w:gutter="0"/>
      <w:pgBorders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C3842"/>
    <w:multiLevelType w:val="hybridMultilevel"/>
    <w:tmpl w:val="EDF09DEC"/>
    <w:lvl w:ilvl="0" w:tplc="ED987A94">
      <w:start w:val="1"/>
      <w:numFmt w:val="bullet"/>
      <w:lvlText w:val="•"/>
      <w:lvlJc w:val="left"/>
      <w:pPr>
        <w:ind w:left="720" w:hanging="360"/>
      </w:pPr>
    </w:lvl>
    <w:lvl w:ilvl="1" w:tplc="154A3284">
      <w:numFmt w:val="decimal"/>
      <w:lvlText w:val=""/>
      <w:lvlJc w:val="left"/>
    </w:lvl>
    <w:lvl w:ilvl="2" w:tplc="75DE5FFA">
      <w:numFmt w:val="decimal"/>
      <w:lvlText w:val=""/>
      <w:lvlJc w:val="left"/>
    </w:lvl>
    <w:lvl w:ilvl="3" w:tplc="520C0058">
      <w:numFmt w:val="decimal"/>
      <w:lvlText w:val=""/>
      <w:lvlJc w:val="left"/>
    </w:lvl>
    <w:lvl w:ilvl="4" w:tplc="69C4E602">
      <w:numFmt w:val="decimal"/>
      <w:lvlText w:val=""/>
      <w:lvlJc w:val="left"/>
    </w:lvl>
    <w:lvl w:ilvl="5" w:tplc="95D6E25E">
      <w:numFmt w:val="decimal"/>
      <w:lvlText w:val=""/>
      <w:lvlJc w:val="left"/>
    </w:lvl>
    <w:lvl w:ilvl="6" w:tplc="B77E139C">
      <w:numFmt w:val="decimal"/>
      <w:lvlText w:val=""/>
      <w:lvlJc w:val="left"/>
    </w:lvl>
    <w:lvl w:ilvl="7" w:tplc="A190AF80">
      <w:numFmt w:val="decimal"/>
      <w:lvlText w:val=""/>
      <w:lvlJc w:val="left"/>
    </w:lvl>
    <w:lvl w:ilvl="8" w:tplc="7340C5E2">
      <w:numFmt w:val="decimal"/>
      <w:lvlText w:val=""/>
      <w:lvlJc w:val="left"/>
    </w:lvl>
  </w:abstractNum>
  <w:abstractNum w:abstractNumId="1" w15:restartNumberingAfterBreak="0">
    <w:nsid w:val="51E63CD7"/>
    <w:multiLevelType w:val="hybridMultilevel"/>
    <w:tmpl w:val="6714EC8E"/>
    <w:lvl w:ilvl="0" w:tplc="9BE8A90A">
      <w:start w:val="1"/>
      <w:numFmt w:val="bullet"/>
      <w:lvlText w:val="●"/>
      <w:lvlJc w:val="left"/>
      <w:pPr>
        <w:ind w:left="720" w:hanging="360"/>
      </w:pPr>
    </w:lvl>
    <w:lvl w:ilvl="1" w:tplc="973A2032">
      <w:start w:val="1"/>
      <w:numFmt w:val="bullet"/>
      <w:lvlText w:val="○"/>
      <w:lvlJc w:val="left"/>
      <w:pPr>
        <w:ind w:left="1440" w:hanging="360"/>
      </w:pPr>
    </w:lvl>
    <w:lvl w:ilvl="2" w:tplc="98569C5C">
      <w:start w:val="1"/>
      <w:numFmt w:val="bullet"/>
      <w:lvlText w:val="■"/>
      <w:lvlJc w:val="left"/>
      <w:pPr>
        <w:ind w:left="2160" w:hanging="360"/>
      </w:pPr>
    </w:lvl>
    <w:lvl w:ilvl="3" w:tplc="07D26204">
      <w:start w:val="1"/>
      <w:numFmt w:val="bullet"/>
      <w:lvlText w:val="●"/>
      <w:lvlJc w:val="left"/>
      <w:pPr>
        <w:ind w:left="2880" w:hanging="360"/>
      </w:pPr>
    </w:lvl>
    <w:lvl w:ilvl="4" w:tplc="896801B4">
      <w:start w:val="1"/>
      <w:numFmt w:val="bullet"/>
      <w:lvlText w:val="○"/>
      <w:lvlJc w:val="left"/>
      <w:pPr>
        <w:ind w:left="3600" w:hanging="360"/>
      </w:pPr>
    </w:lvl>
    <w:lvl w:ilvl="5" w:tplc="B7FCC420">
      <w:start w:val="1"/>
      <w:numFmt w:val="bullet"/>
      <w:lvlText w:val="■"/>
      <w:lvlJc w:val="left"/>
      <w:pPr>
        <w:ind w:left="4320" w:hanging="360"/>
      </w:pPr>
    </w:lvl>
    <w:lvl w:ilvl="6" w:tplc="9C1098DC">
      <w:start w:val="1"/>
      <w:numFmt w:val="bullet"/>
      <w:lvlText w:val="●"/>
      <w:lvlJc w:val="left"/>
      <w:pPr>
        <w:ind w:left="5040" w:hanging="360"/>
      </w:pPr>
    </w:lvl>
    <w:lvl w:ilvl="7" w:tplc="9DF89E44">
      <w:start w:val="1"/>
      <w:numFmt w:val="bullet"/>
      <w:lvlText w:val="●"/>
      <w:lvlJc w:val="left"/>
      <w:pPr>
        <w:ind w:left="5760" w:hanging="360"/>
      </w:pPr>
    </w:lvl>
    <w:lvl w:ilvl="8" w:tplc="1EA0266A">
      <w:start w:val="1"/>
      <w:numFmt w:val="bullet"/>
      <w:lvlText w:val="●"/>
      <w:lvlJc w:val="left"/>
      <w:pPr>
        <w:ind w:left="6480" w:hanging="360"/>
      </w:pPr>
    </w:lvl>
  </w:abstractNum>
  <w:num w:numId="1" w16cid:durableId="732505368">
    <w:abstractNumId w:val="1"/>
    <w:lvlOverride w:ilvl="0">
      <w:startOverride w:val="1"/>
    </w:lvlOverride>
  </w:num>
  <w:num w:numId="2" w16cid:durableId="1390031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35D"/>
    <w:rsid w:val="003518C5"/>
    <w:rsid w:val="006A235D"/>
    <w:rsid w:val="00CD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9226E"/>
  <w15:docId w15:val="{D023A0C3-5ED8-3448-A5C6-74882B81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kamali B</cp:lastModifiedBy>
  <cp:revision>3</cp:revision>
  <dcterms:created xsi:type="dcterms:W3CDTF">2026-03-29T14:11:00Z</dcterms:created>
  <dcterms:modified xsi:type="dcterms:W3CDTF">2026-03-29T14:13:00Z</dcterms:modified>
</cp:coreProperties>
</file>