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2C686" w14:textId="00F6E9A3" w:rsidR="001742AF" w:rsidRPr="003E43AB" w:rsidRDefault="001742AF" w:rsidP="00326AB4">
      <w:pPr>
        <w:spacing w:line="360" w:lineRule="auto"/>
        <w:jc w:val="center"/>
        <w:rPr>
          <w:rFonts w:ascii="Arial" w:hAnsi="Arial" w:cs="Arial"/>
          <w:b/>
          <w:sz w:val="36"/>
          <w:szCs w:val="36"/>
        </w:rPr>
      </w:pPr>
      <w:r w:rsidRPr="003E43AB">
        <w:rPr>
          <w:rFonts w:ascii="Arial" w:hAnsi="Arial" w:cs="Arial"/>
          <w:b/>
          <w:sz w:val="36"/>
          <w:szCs w:val="36"/>
        </w:rPr>
        <w:t>Bank Group Credit Dynamics:</w:t>
      </w:r>
    </w:p>
    <w:p w14:paraId="43ED3B57" w14:textId="5AD3452A" w:rsidR="001742AF" w:rsidRPr="003E43AB" w:rsidRDefault="001742AF" w:rsidP="00326AB4">
      <w:pPr>
        <w:spacing w:line="360" w:lineRule="auto"/>
        <w:jc w:val="center"/>
        <w:rPr>
          <w:rFonts w:ascii="Arial" w:hAnsi="Arial" w:cs="Arial"/>
          <w:b/>
          <w:sz w:val="36"/>
          <w:szCs w:val="36"/>
        </w:rPr>
      </w:pPr>
      <w:r w:rsidRPr="003E43AB">
        <w:rPr>
          <w:rFonts w:ascii="Arial" w:hAnsi="Arial" w:cs="Arial"/>
          <w:b/>
          <w:sz w:val="36"/>
          <w:szCs w:val="36"/>
        </w:rPr>
        <w:t>Regional, Sectoral, and Temporal Analysis</w:t>
      </w:r>
    </w:p>
    <w:p w14:paraId="117030B7" w14:textId="313C92E2" w:rsidR="003E43AB" w:rsidRPr="003E43AB" w:rsidRDefault="003E43AB" w:rsidP="002315B8">
      <w:pPr>
        <w:pStyle w:val="Heading2"/>
        <w:numPr>
          <w:ilvl w:val="0"/>
          <w:numId w:val="6"/>
        </w:numPr>
        <w:tabs>
          <w:tab w:val="left" w:pos="263"/>
        </w:tabs>
        <w:spacing w:before="100" w:beforeAutospacing="1" w:line="360" w:lineRule="auto"/>
        <w:ind w:left="0" w:firstLine="0"/>
        <w:rPr>
          <w:color w:val="0070C0"/>
          <w:sz w:val="32"/>
          <w:szCs w:val="32"/>
        </w:rPr>
      </w:pPr>
      <w:r w:rsidRPr="003E43AB">
        <w:rPr>
          <w:color w:val="0070C0"/>
          <w:sz w:val="32"/>
          <w:szCs w:val="32"/>
        </w:rPr>
        <w:t>Project</w:t>
      </w:r>
      <w:r w:rsidRPr="003E43AB">
        <w:rPr>
          <w:color w:val="0070C0"/>
          <w:spacing w:val="-14"/>
          <w:sz w:val="32"/>
          <w:szCs w:val="32"/>
        </w:rPr>
        <w:t xml:space="preserve"> </w:t>
      </w:r>
      <w:r w:rsidRPr="003E43AB">
        <w:rPr>
          <w:color w:val="0070C0"/>
          <w:sz w:val="32"/>
          <w:szCs w:val="32"/>
        </w:rPr>
        <w:t>Overview</w:t>
      </w:r>
      <w:r w:rsidRPr="003E43AB">
        <w:rPr>
          <w:color w:val="0070C0"/>
          <w:spacing w:val="-14"/>
          <w:sz w:val="32"/>
          <w:szCs w:val="32"/>
        </w:rPr>
        <w:t>:</w:t>
      </w:r>
    </w:p>
    <w:p w14:paraId="705FE451" w14:textId="77777777" w:rsidR="00443C42" w:rsidRPr="003E43AB" w:rsidRDefault="001742AF" w:rsidP="00326AB4">
      <w:pPr>
        <w:pStyle w:val="ListParagraph"/>
        <w:numPr>
          <w:ilvl w:val="0"/>
          <w:numId w:val="1"/>
        </w:numPr>
        <w:spacing w:line="360" w:lineRule="auto"/>
        <w:ind w:left="530"/>
        <w:rPr>
          <w:rFonts w:ascii="Arial" w:hAnsi="Arial" w:cs="Arial"/>
          <w:sz w:val="24"/>
          <w:szCs w:val="24"/>
        </w:rPr>
      </w:pPr>
      <w:r w:rsidRPr="003E43AB">
        <w:rPr>
          <w:rFonts w:ascii="Arial" w:hAnsi="Arial" w:cs="Arial"/>
          <w:sz w:val="24"/>
          <w:szCs w:val="24"/>
        </w:rPr>
        <w:t xml:space="preserve">Bank Group Credit Dynamics: Regional, Sectoral, and Temporal Analysis examines how credit extended by Scheduled Commercial Banks (SCBs) in India varies across bank groups, population segments (rural, urban, metropolitan), and credit sectors (agriculture, industry, housing, personal) over time. </w:t>
      </w:r>
    </w:p>
    <w:p w14:paraId="0E8AAF0E" w14:textId="77777777" w:rsidR="00443C42" w:rsidRPr="003E43AB" w:rsidRDefault="001742AF" w:rsidP="00326AB4">
      <w:pPr>
        <w:pStyle w:val="ListParagraph"/>
        <w:numPr>
          <w:ilvl w:val="0"/>
          <w:numId w:val="1"/>
        </w:numPr>
        <w:spacing w:line="360" w:lineRule="auto"/>
        <w:ind w:left="530"/>
        <w:rPr>
          <w:rFonts w:ascii="Arial" w:hAnsi="Arial" w:cs="Arial"/>
          <w:sz w:val="24"/>
          <w:szCs w:val="24"/>
        </w:rPr>
      </w:pPr>
      <w:r w:rsidRPr="003E43AB">
        <w:rPr>
          <w:rFonts w:ascii="Arial" w:hAnsi="Arial" w:cs="Arial"/>
          <w:sz w:val="24"/>
          <w:szCs w:val="24"/>
        </w:rPr>
        <w:t>The project cleans and harmonizes RBI groupwise credit tables into a tidy fact table, builds an interactive Power BI dashboard to visualize trends and concentrations, and produces evidence</w:t>
      </w:r>
      <w:r w:rsidRPr="003E43AB">
        <w:rPr>
          <w:rFonts w:ascii="Arial" w:hAnsi="Arial" w:cs="Arial"/>
          <w:sz w:val="24"/>
          <w:szCs w:val="24"/>
        </w:rPr>
        <w:noBreakHyphen/>
        <w:t>based recommendations for policymakers and bank strategists.</w:t>
      </w:r>
    </w:p>
    <w:p w14:paraId="2E94B09B" w14:textId="70EA2FC4" w:rsidR="001742AF" w:rsidRPr="003E43AB" w:rsidRDefault="001742AF" w:rsidP="002315B8">
      <w:pPr>
        <w:pStyle w:val="Heading2"/>
        <w:numPr>
          <w:ilvl w:val="1"/>
          <w:numId w:val="7"/>
        </w:numPr>
        <w:tabs>
          <w:tab w:val="left" w:pos="263"/>
        </w:tabs>
        <w:spacing w:before="100" w:beforeAutospacing="1" w:line="360" w:lineRule="auto"/>
        <w:ind w:left="720"/>
        <w:rPr>
          <w:color w:val="0070C0"/>
          <w:sz w:val="32"/>
          <w:szCs w:val="32"/>
        </w:rPr>
      </w:pPr>
      <w:r w:rsidRPr="003E43AB">
        <w:rPr>
          <w:rFonts w:ascii="Arial" w:hAnsi="Arial" w:cs="Arial"/>
          <w:color w:val="0070C0"/>
        </w:rPr>
        <w:t>Primary Objective</w:t>
      </w:r>
    </w:p>
    <w:p w14:paraId="19480666" w14:textId="77777777" w:rsidR="001742AF" w:rsidRPr="003E43AB" w:rsidRDefault="001742AF" w:rsidP="00326AB4">
      <w:pPr>
        <w:spacing w:line="360" w:lineRule="auto"/>
        <w:ind w:firstLine="432"/>
        <w:rPr>
          <w:rFonts w:ascii="Arial" w:hAnsi="Arial" w:cs="Arial"/>
          <w:sz w:val="24"/>
          <w:szCs w:val="24"/>
        </w:rPr>
      </w:pPr>
      <w:r w:rsidRPr="003E43AB">
        <w:rPr>
          <w:rFonts w:ascii="Arial" w:hAnsi="Arial" w:cs="Arial"/>
          <w:sz w:val="24"/>
          <w:szCs w:val="24"/>
        </w:rPr>
        <w:t>Assess temporal patterns and cross</w:t>
      </w:r>
      <w:r w:rsidRPr="003E43AB">
        <w:rPr>
          <w:rFonts w:ascii="Arial" w:hAnsi="Arial" w:cs="Arial"/>
          <w:sz w:val="24"/>
          <w:szCs w:val="24"/>
        </w:rPr>
        <w:noBreakHyphen/>
        <w:t>sectional differences in SCB credit to identify where credit growth is concentrated, which bank groups drive sectoral shifts, and where regional imbalances or concentration risks exist.</w:t>
      </w:r>
    </w:p>
    <w:p w14:paraId="4EE3C01A" w14:textId="0E1FF0D4" w:rsidR="00A22236" w:rsidRPr="00D148BA" w:rsidRDefault="00A22236" w:rsidP="002315B8">
      <w:pPr>
        <w:pStyle w:val="ListParagraph"/>
        <w:numPr>
          <w:ilvl w:val="0"/>
          <w:numId w:val="8"/>
        </w:numPr>
        <w:spacing w:line="360" w:lineRule="auto"/>
        <w:ind w:left="643"/>
        <w:rPr>
          <w:rFonts w:ascii="Arial" w:hAnsi="Arial" w:cs="Arial"/>
          <w:b/>
          <w:color w:val="0070C0"/>
          <w:sz w:val="24"/>
          <w:szCs w:val="24"/>
        </w:rPr>
      </w:pPr>
      <w:r w:rsidRPr="00D148BA">
        <w:rPr>
          <w:rFonts w:ascii="Arial" w:hAnsi="Arial" w:cs="Arial"/>
          <w:b/>
          <w:color w:val="0070C0"/>
          <w:sz w:val="24"/>
          <w:szCs w:val="24"/>
        </w:rPr>
        <w:t>Analytical objectives</w:t>
      </w:r>
    </w:p>
    <w:p w14:paraId="40233573" w14:textId="3FFA2EF5" w:rsidR="00A22236" w:rsidRPr="003E43AB" w:rsidRDefault="00A22236" w:rsidP="002315B8">
      <w:pPr>
        <w:pStyle w:val="ListParagraph"/>
        <w:numPr>
          <w:ilvl w:val="0"/>
          <w:numId w:val="2"/>
        </w:numPr>
        <w:spacing w:line="360" w:lineRule="auto"/>
        <w:ind w:left="1097"/>
        <w:rPr>
          <w:rFonts w:ascii="Arial" w:hAnsi="Arial" w:cs="Arial"/>
          <w:sz w:val="24"/>
          <w:szCs w:val="24"/>
        </w:rPr>
      </w:pPr>
      <w:r w:rsidRPr="003E43AB">
        <w:rPr>
          <w:rFonts w:ascii="Arial" w:hAnsi="Arial" w:cs="Arial"/>
          <w:sz w:val="24"/>
          <w:szCs w:val="24"/>
        </w:rPr>
        <w:t xml:space="preserve">To compute total credit and growth rates by </w:t>
      </w:r>
      <w:r w:rsidRPr="003E43AB">
        <w:rPr>
          <w:rFonts w:ascii="Arial" w:hAnsi="Arial" w:cs="Arial"/>
          <w:b/>
          <w:bCs/>
          <w:sz w:val="24"/>
          <w:szCs w:val="24"/>
        </w:rPr>
        <w:t>bank group</w:t>
      </w:r>
      <w:r w:rsidRPr="003E43AB">
        <w:rPr>
          <w:rFonts w:ascii="Arial" w:hAnsi="Arial" w:cs="Arial"/>
          <w:sz w:val="24"/>
          <w:szCs w:val="24"/>
        </w:rPr>
        <w:t xml:space="preserve">, </w:t>
      </w:r>
      <w:r w:rsidRPr="003E43AB">
        <w:rPr>
          <w:rFonts w:ascii="Arial" w:hAnsi="Arial" w:cs="Arial"/>
          <w:b/>
          <w:bCs/>
          <w:sz w:val="24"/>
          <w:szCs w:val="24"/>
        </w:rPr>
        <w:t>region (rural/urban/metropolitan)</w:t>
      </w:r>
      <w:r w:rsidRPr="003E43AB">
        <w:rPr>
          <w:rFonts w:ascii="Arial" w:hAnsi="Arial" w:cs="Arial"/>
          <w:sz w:val="24"/>
          <w:szCs w:val="24"/>
        </w:rPr>
        <w:t xml:space="preserve">, </w:t>
      </w:r>
      <w:r w:rsidRPr="003E43AB">
        <w:rPr>
          <w:rFonts w:ascii="Arial" w:hAnsi="Arial" w:cs="Arial"/>
          <w:b/>
          <w:bCs/>
          <w:sz w:val="24"/>
          <w:szCs w:val="24"/>
        </w:rPr>
        <w:t>sector</w:t>
      </w:r>
      <w:r w:rsidRPr="003E43AB">
        <w:rPr>
          <w:rFonts w:ascii="Arial" w:hAnsi="Arial" w:cs="Arial"/>
          <w:sz w:val="24"/>
          <w:szCs w:val="24"/>
        </w:rPr>
        <w:t xml:space="preserve">, and </w:t>
      </w:r>
      <w:r w:rsidR="00BC2A90">
        <w:rPr>
          <w:rFonts w:ascii="Arial" w:hAnsi="Arial" w:cs="Arial"/>
          <w:b/>
          <w:bCs/>
          <w:sz w:val="24"/>
          <w:szCs w:val="24"/>
        </w:rPr>
        <w:t>year</w:t>
      </w:r>
      <w:r w:rsidRPr="003E43AB">
        <w:rPr>
          <w:rFonts w:ascii="Arial" w:hAnsi="Arial" w:cs="Arial"/>
          <w:sz w:val="24"/>
          <w:szCs w:val="24"/>
        </w:rPr>
        <w:t>.</w:t>
      </w:r>
    </w:p>
    <w:p w14:paraId="3425A78F" w14:textId="6B75ADD0" w:rsidR="00A22236" w:rsidRPr="003E43AB" w:rsidRDefault="00A22236" w:rsidP="002315B8">
      <w:pPr>
        <w:pStyle w:val="ListParagraph"/>
        <w:numPr>
          <w:ilvl w:val="0"/>
          <w:numId w:val="2"/>
        </w:numPr>
        <w:spacing w:line="360" w:lineRule="auto"/>
        <w:ind w:left="1097"/>
        <w:rPr>
          <w:rFonts w:ascii="Arial" w:hAnsi="Arial" w:cs="Arial"/>
          <w:sz w:val="24"/>
          <w:szCs w:val="24"/>
        </w:rPr>
      </w:pPr>
      <w:r w:rsidRPr="003E43AB">
        <w:rPr>
          <w:rFonts w:ascii="Arial" w:hAnsi="Arial" w:cs="Arial"/>
          <w:sz w:val="24"/>
          <w:szCs w:val="24"/>
        </w:rPr>
        <w:t>To quantify how much of overall credit growth is driven by changes in volume versus changes in composition across sectors and bank groups.</w:t>
      </w:r>
    </w:p>
    <w:p w14:paraId="1C83E3EF" w14:textId="6653A798" w:rsidR="00A22236" w:rsidRPr="003E43AB" w:rsidRDefault="00A22236" w:rsidP="002315B8">
      <w:pPr>
        <w:pStyle w:val="ListParagraph"/>
        <w:numPr>
          <w:ilvl w:val="0"/>
          <w:numId w:val="2"/>
        </w:numPr>
        <w:spacing w:line="360" w:lineRule="auto"/>
        <w:ind w:left="1097"/>
        <w:rPr>
          <w:rFonts w:ascii="Arial" w:hAnsi="Arial" w:cs="Arial"/>
          <w:sz w:val="24"/>
          <w:szCs w:val="24"/>
        </w:rPr>
      </w:pPr>
      <w:bookmarkStart w:id="0" w:name="_Hlk223344195"/>
      <w:r w:rsidRPr="003E43AB">
        <w:rPr>
          <w:rFonts w:ascii="Arial" w:hAnsi="Arial" w:cs="Arial"/>
          <w:sz w:val="24"/>
          <w:szCs w:val="24"/>
        </w:rPr>
        <w:t>To identify recurring seasonal patterns and any abrupt shifts or regime changes in lending behaviour.</w:t>
      </w:r>
    </w:p>
    <w:bookmarkEnd w:id="0"/>
    <w:p w14:paraId="58460C86" w14:textId="28D16892" w:rsidR="00A22236" w:rsidRPr="003E43AB" w:rsidRDefault="00A22236" w:rsidP="002315B8">
      <w:pPr>
        <w:pStyle w:val="ListParagraph"/>
        <w:numPr>
          <w:ilvl w:val="0"/>
          <w:numId w:val="2"/>
        </w:numPr>
        <w:spacing w:line="360" w:lineRule="auto"/>
        <w:ind w:left="1097"/>
        <w:rPr>
          <w:rFonts w:ascii="Arial" w:hAnsi="Arial" w:cs="Arial"/>
          <w:sz w:val="24"/>
          <w:szCs w:val="24"/>
        </w:rPr>
      </w:pPr>
      <w:r w:rsidRPr="003E43AB">
        <w:rPr>
          <w:rFonts w:ascii="Arial" w:hAnsi="Arial" w:cs="Arial"/>
          <w:sz w:val="24"/>
          <w:szCs w:val="24"/>
        </w:rPr>
        <w:t>To compare growth, share, and volatility across bank groups; identify top performers and laggards.</w:t>
      </w:r>
    </w:p>
    <w:p w14:paraId="2982C2ED" w14:textId="04A56E6D" w:rsidR="00A22236" w:rsidRPr="003E43AB" w:rsidRDefault="00A22236" w:rsidP="002315B8">
      <w:pPr>
        <w:pStyle w:val="ListParagraph"/>
        <w:numPr>
          <w:ilvl w:val="0"/>
          <w:numId w:val="2"/>
        </w:numPr>
        <w:spacing w:line="360" w:lineRule="auto"/>
        <w:ind w:left="1097"/>
        <w:rPr>
          <w:rFonts w:ascii="Arial" w:hAnsi="Arial" w:cs="Arial"/>
          <w:sz w:val="24"/>
          <w:szCs w:val="24"/>
        </w:rPr>
      </w:pPr>
      <w:r w:rsidRPr="003E43AB">
        <w:rPr>
          <w:rFonts w:ascii="Arial" w:hAnsi="Arial" w:cs="Arial"/>
          <w:sz w:val="24"/>
          <w:szCs w:val="24"/>
        </w:rPr>
        <w:t>To evaluate rural–urban–metropolitan disparities in credit access and growth rates.</w:t>
      </w:r>
    </w:p>
    <w:p w14:paraId="46BFB69A" w14:textId="10DE9C59" w:rsidR="00A22236" w:rsidRPr="00D148BA" w:rsidRDefault="00A22236" w:rsidP="002315B8">
      <w:pPr>
        <w:pStyle w:val="ListParagraph"/>
        <w:numPr>
          <w:ilvl w:val="0"/>
          <w:numId w:val="8"/>
        </w:numPr>
        <w:spacing w:line="360" w:lineRule="auto"/>
        <w:ind w:left="643"/>
        <w:rPr>
          <w:rFonts w:ascii="Arial" w:hAnsi="Arial" w:cs="Arial"/>
          <w:b/>
          <w:color w:val="0070C0"/>
          <w:sz w:val="24"/>
          <w:szCs w:val="24"/>
        </w:rPr>
      </w:pPr>
      <w:r w:rsidRPr="00D148BA">
        <w:rPr>
          <w:rFonts w:ascii="Arial" w:hAnsi="Arial" w:cs="Arial"/>
          <w:b/>
          <w:color w:val="0070C0"/>
          <w:sz w:val="24"/>
          <w:szCs w:val="24"/>
        </w:rPr>
        <w:t>Data quality and reproducibility objectives</w:t>
      </w:r>
    </w:p>
    <w:p w14:paraId="43CD1753" w14:textId="18F709D1" w:rsidR="00A22236" w:rsidRPr="00A22236" w:rsidRDefault="00326AB4" w:rsidP="002315B8">
      <w:pPr>
        <w:pStyle w:val="ListParagraph"/>
        <w:numPr>
          <w:ilvl w:val="0"/>
          <w:numId w:val="3"/>
        </w:numPr>
        <w:spacing w:line="360" w:lineRule="auto"/>
        <w:ind w:left="1097"/>
        <w:rPr>
          <w:rFonts w:ascii="Arial" w:hAnsi="Arial" w:cs="Arial"/>
          <w:sz w:val="24"/>
          <w:szCs w:val="24"/>
        </w:rPr>
      </w:pPr>
      <w:r w:rsidRPr="003E43AB">
        <w:rPr>
          <w:rFonts w:ascii="Arial" w:hAnsi="Arial" w:cs="Arial"/>
          <w:bCs/>
          <w:sz w:val="24"/>
          <w:szCs w:val="24"/>
        </w:rPr>
        <w:t>To</w:t>
      </w:r>
      <w:r w:rsidRPr="003E43AB">
        <w:rPr>
          <w:rFonts w:ascii="Arial" w:hAnsi="Arial" w:cs="Arial"/>
          <w:b/>
          <w:bCs/>
          <w:sz w:val="24"/>
          <w:szCs w:val="24"/>
        </w:rPr>
        <w:t xml:space="preserve"> </w:t>
      </w:r>
      <w:r w:rsidR="00A22236" w:rsidRPr="00A22236">
        <w:rPr>
          <w:rFonts w:ascii="Arial" w:hAnsi="Arial" w:cs="Arial"/>
          <w:sz w:val="24"/>
          <w:szCs w:val="24"/>
        </w:rPr>
        <w:t>clean, normalize, and transform raw RBI tables into a tidy fact table with a full cleaning log and code/Power Query steps.</w:t>
      </w:r>
    </w:p>
    <w:p w14:paraId="59AFBFB5" w14:textId="60E34142" w:rsidR="00326AB4" w:rsidRDefault="00326AB4" w:rsidP="002315B8">
      <w:pPr>
        <w:pStyle w:val="ListParagraph"/>
        <w:numPr>
          <w:ilvl w:val="0"/>
          <w:numId w:val="3"/>
        </w:numPr>
        <w:spacing w:line="360" w:lineRule="auto"/>
        <w:ind w:left="1097"/>
        <w:rPr>
          <w:rFonts w:ascii="Arial" w:hAnsi="Arial" w:cs="Arial"/>
          <w:sz w:val="24"/>
          <w:szCs w:val="24"/>
        </w:rPr>
      </w:pPr>
      <w:r w:rsidRPr="003E43AB">
        <w:rPr>
          <w:rFonts w:ascii="Arial" w:hAnsi="Arial" w:cs="Arial"/>
          <w:sz w:val="24"/>
          <w:szCs w:val="24"/>
        </w:rPr>
        <w:lastRenderedPageBreak/>
        <w:t>To harmonize</w:t>
      </w:r>
      <w:r w:rsidR="00A22236" w:rsidRPr="00A22236">
        <w:rPr>
          <w:rFonts w:ascii="Arial" w:hAnsi="Arial" w:cs="Arial"/>
          <w:sz w:val="24"/>
          <w:szCs w:val="24"/>
        </w:rPr>
        <w:t xml:space="preserve"> credit type labels, bank group names, and time formats so analyses are consistent and repeatable.</w:t>
      </w:r>
    </w:p>
    <w:p w14:paraId="360E6C8D" w14:textId="5B48C56B" w:rsidR="00326AB4" w:rsidRPr="00897FB1" w:rsidRDefault="00897FB1" w:rsidP="002315B8">
      <w:pPr>
        <w:pStyle w:val="Heading2"/>
        <w:numPr>
          <w:ilvl w:val="0"/>
          <w:numId w:val="7"/>
        </w:numPr>
        <w:tabs>
          <w:tab w:val="left" w:pos="263"/>
        </w:tabs>
        <w:spacing w:before="100" w:beforeAutospacing="1" w:line="360" w:lineRule="auto"/>
        <w:rPr>
          <w:color w:val="0070C0"/>
          <w:sz w:val="32"/>
          <w:szCs w:val="32"/>
        </w:rPr>
      </w:pPr>
      <w:r>
        <w:rPr>
          <w:rFonts w:ascii="Arial" w:hAnsi="Arial" w:cs="Arial"/>
          <w:color w:val="0070C0"/>
        </w:rPr>
        <w:t xml:space="preserve"> </w:t>
      </w:r>
      <w:r w:rsidR="00326AB4" w:rsidRPr="00897FB1">
        <w:rPr>
          <w:rFonts w:ascii="Arial" w:hAnsi="Arial" w:cs="Arial"/>
          <w:color w:val="0070C0"/>
        </w:rPr>
        <w:t>Source Description</w:t>
      </w:r>
    </w:p>
    <w:p w14:paraId="4E2C9254" w14:textId="17FAA3ED" w:rsidR="001742AF" w:rsidRPr="003E43AB" w:rsidRDefault="00326AB4" w:rsidP="00897FB1">
      <w:pPr>
        <w:pStyle w:val="ListParagraph"/>
        <w:spacing w:line="360" w:lineRule="auto"/>
        <w:ind w:left="432" w:firstLine="288"/>
        <w:rPr>
          <w:rFonts w:ascii="Arial" w:hAnsi="Arial" w:cs="Arial"/>
          <w:sz w:val="24"/>
          <w:szCs w:val="24"/>
        </w:rPr>
      </w:pPr>
      <w:r w:rsidRPr="003E43AB">
        <w:rPr>
          <w:rFonts w:ascii="Arial" w:hAnsi="Arial" w:cs="Arial"/>
          <w:sz w:val="24"/>
          <w:szCs w:val="24"/>
        </w:rPr>
        <w:t xml:space="preserve">The Dataset is maintained by </w:t>
      </w:r>
      <w:r w:rsidRPr="003E43AB">
        <w:rPr>
          <w:rFonts w:ascii="Arial" w:hAnsi="Arial" w:cs="Arial"/>
          <w:b/>
          <w:i/>
          <w:sz w:val="24"/>
          <w:szCs w:val="24"/>
        </w:rPr>
        <w:t>India Data Portal</w:t>
      </w:r>
      <w:r w:rsidR="00A67737" w:rsidRPr="003E43AB">
        <w:rPr>
          <w:rFonts w:ascii="Arial" w:hAnsi="Arial" w:cs="Arial"/>
          <w:b/>
          <w:i/>
          <w:sz w:val="24"/>
          <w:szCs w:val="24"/>
        </w:rPr>
        <w:t xml:space="preserve"> </w:t>
      </w:r>
      <w:r w:rsidRPr="003E43AB">
        <w:rPr>
          <w:rFonts w:ascii="Arial" w:hAnsi="Arial" w:cs="Arial"/>
          <w:b/>
          <w:i/>
          <w:sz w:val="24"/>
          <w:szCs w:val="24"/>
        </w:rPr>
        <w:t xml:space="preserve">(ISP) </w:t>
      </w:r>
      <w:r w:rsidR="00A67737" w:rsidRPr="003E43AB">
        <w:rPr>
          <w:rFonts w:ascii="Arial" w:hAnsi="Arial" w:cs="Arial"/>
          <w:sz w:val="24"/>
          <w:szCs w:val="24"/>
        </w:rPr>
        <w:t>a</w:t>
      </w:r>
      <w:r w:rsidRPr="003E43AB">
        <w:rPr>
          <w:rFonts w:ascii="Arial" w:hAnsi="Arial" w:cs="Arial"/>
          <w:sz w:val="24"/>
          <w:szCs w:val="24"/>
        </w:rPr>
        <w:t xml:space="preserve">nd is provided by </w:t>
      </w:r>
      <w:r w:rsidRPr="003E43AB">
        <w:rPr>
          <w:rFonts w:ascii="Arial" w:hAnsi="Arial" w:cs="Arial"/>
          <w:b/>
          <w:sz w:val="24"/>
          <w:szCs w:val="24"/>
        </w:rPr>
        <w:t>RBI</w:t>
      </w:r>
      <w:r w:rsidR="00153592" w:rsidRPr="003E43AB">
        <w:rPr>
          <w:rFonts w:ascii="Arial" w:hAnsi="Arial" w:cs="Arial"/>
          <w:b/>
          <w:sz w:val="24"/>
          <w:szCs w:val="24"/>
        </w:rPr>
        <w:t>(Primary source)</w:t>
      </w:r>
      <w:r w:rsidR="00A67737" w:rsidRPr="003E43AB">
        <w:rPr>
          <w:rFonts w:ascii="Arial" w:hAnsi="Arial" w:cs="Arial"/>
          <w:sz w:val="24"/>
          <w:szCs w:val="24"/>
        </w:rPr>
        <w:t xml:space="preserve"> captures information on the credit extended by scheduled commercial banks in India to various population groups, bank groups and occupation groups. </w:t>
      </w:r>
      <w:r w:rsidR="00E10EED" w:rsidRPr="003E43AB">
        <w:rPr>
          <w:rFonts w:ascii="Arial" w:hAnsi="Arial" w:cs="Arial"/>
          <w:sz w:val="24"/>
          <w:szCs w:val="24"/>
        </w:rPr>
        <w:t xml:space="preserve"> The Dataset covers various types of credit such as agricultural credits, personal loans, housing loans and loans to the industrial sectors etc., </w:t>
      </w:r>
    </w:p>
    <w:p w14:paraId="42680274" w14:textId="6A0503EC" w:rsidR="00E10EED" w:rsidRPr="003E43AB" w:rsidRDefault="00E10EED" w:rsidP="00153592">
      <w:pPr>
        <w:pStyle w:val="ListParagraph"/>
        <w:spacing w:line="360" w:lineRule="auto"/>
        <w:ind w:left="432" w:firstLine="288"/>
        <w:rPr>
          <w:rFonts w:ascii="Arial" w:hAnsi="Arial" w:cs="Arial"/>
          <w:sz w:val="24"/>
          <w:szCs w:val="24"/>
        </w:rPr>
      </w:pPr>
      <w:r w:rsidRPr="003E43AB">
        <w:rPr>
          <w:rFonts w:ascii="Arial" w:hAnsi="Arial" w:cs="Arial"/>
          <w:sz w:val="24"/>
          <w:szCs w:val="24"/>
        </w:rPr>
        <w:t>RBI</w:t>
      </w:r>
      <w:r w:rsidR="00153592" w:rsidRPr="003E43AB">
        <w:rPr>
          <w:rFonts w:ascii="Arial" w:hAnsi="Arial" w:cs="Arial"/>
          <w:sz w:val="24"/>
          <w:szCs w:val="24"/>
        </w:rPr>
        <w:t xml:space="preserve"> </w:t>
      </w:r>
      <w:r w:rsidRPr="003E43AB">
        <w:rPr>
          <w:rFonts w:ascii="Arial" w:hAnsi="Arial" w:cs="Arial"/>
          <w:sz w:val="24"/>
          <w:szCs w:val="24"/>
        </w:rPr>
        <w:t xml:space="preserve">releases </w:t>
      </w:r>
      <w:r w:rsidR="00153592" w:rsidRPr="003E43AB">
        <w:rPr>
          <w:rFonts w:ascii="Arial" w:hAnsi="Arial" w:cs="Arial"/>
          <w:sz w:val="24"/>
          <w:szCs w:val="24"/>
        </w:rPr>
        <w:t>information</w:t>
      </w:r>
      <w:r w:rsidRPr="003E43AB">
        <w:rPr>
          <w:rFonts w:ascii="Arial" w:hAnsi="Arial" w:cs="Arial"/>
          <w:sz w:val="24"/>
          <w:szCs w:val="24"/>
        </w:rPr>
        <w:t xml:space="preserve"> </w:t>
      </w:r>
      <w:r w:rsidR="00153592" w:rsidRPr="003E43AB">
        <w:rPr>
          <w:rFonts w:ascii="Arial" w:hAnsi="Arial" w:cs="Arial"/>
          <w:sz w:val="24"/>
          <w:szCs w:val="24"/>
        </w:rPr>
        <w:t>about</w:t>
      </w:r>
      <w:r w:rsidRPr="003E43AB">
        <w:rPr>
          <w:rFonts w:ascii="Arial" w:hAnsi="Arial" w:cs="Arial"/>
          <w:sz w:val="24"/>
          <w:szCs w:val="24"/>
        </w:rPr>
        <w:t xml:space="preserve"> the number of accounts, credit </w:t>
      </w:r>
      <w:r w:rsidR="00153592" w:rsidRPr="003E43AB">
        <w:rPr>
          <w:rFonts w:ascii="Arial" w:hAnsi="Arial" w:cs="Arial"/>
          <w:sz w:val="24"/>
          <w:szCs w:val="24"/>
        </w:rPr>
        <w:t>limit and</w:t>
      </w:r>
      <w:r w:rsidRPr="003E43AB">
        <w:rPr>
          <w:rFonts w:ascii="Arial" w:hAnsi="Arial" w:cs="Arial"/>
          <w:sz w:val="24"/>
          <w:szCs w:val="24"/>
        </w:rPr>
        <w:t xml:space="preserve"> amount </w:t>
      </w:r>
      <w:r w:rsidR="00153592" w:rsidRPr="003E43AB">
        <w:rPr>
          <w:rFonts w:ascii="Arial" w:hAnsi="Arial" w:cs="Arial"/>
          <w:sz w:val="24"/>
          <w:szCs w:val="24"/>
        </w:rPr>
        <w:t>outstanding categorised per population group, bank group and occupation under each district yearly.</w:t>
      </w:r>
    </w:p>
    <w:p w14:paraId="5D5855F4" w14:textId="65F50087" w:rsidR="000D46E5" w:rsidRPr="000279D1" w:rsidRDefault="000D46E5" w:rsidP="002315B8">
      <w:pPr>
        <w:pStyle w:val="Heading2"/>
        <w:numPr>
          <w:ilvl w:val="1"/>
          <w:numId w:val="9"/>
        </w:numPr>
        <w:tabs>
          <w:tab w:val="left" w:pos="263"/>
        </w:tabs>
        <w:spacing w:before="0" w:line="360" w:lineRule="auto"/>
        <w:ind w:left="1003"/>
        <w:rPr>
          <w:color w:val="0070C0"/>
        </w:rPr>
      </w:pPr>
      <w:r w:rsidRPr="000279D1">
        <w:rPr>
          <w:rFonts w:ascii="Arial" w:hAnsi="Arial" w:cs="Arial"/>
          <w:color w:val="0070C0"/>
          <w:sz w:val="24"/>
          <w:szCs w:val="24"/>
        </w:rPr>
        <w:t>Source Link</w:t>
      </w:r>
    </w:p>
    <w:p w14:paraId="0FDC98DB" w14:textId="704067B7" w:rsidR="00153592" w:rsidRPr="003E43AB" w:rsidRDefault="00153592" w:rsidP="000279D1">
      <w:pPr>
        <w:pStyle w:val="ListParagraph"/>
        <w:spacing w:line="360" w:lineRule="auto"/>
        <w:ind w:left="432" w:firstLine="288"/>
        <w:rPr>
          <w:rFonts w:ascii="Arial" w:hAnsi="Arial" w:cs="Arial"/>
          <w:sz w:val="24"/>
          <w:szCs w:val="24"/>
        </w:rPr>
      </w:pPr>
      <w:r w:rsidRPr="003E43AB">
        <w:rPr>
          <w:rFonts w:ascii="Arial" w:hAnsi="Arial" w:cs="Arial"/>
          <w:sz w:val="24"/>
          <w:szCs w:val="24"/>
        </w:rPr>
        <w:t xml:space="preserve">The Source link is </w:t>
      </w:r>
    </w:p>
    <w:p w14:paraId="0B0AC9FD" w14:textId="4C19A125" w:rsidR="00153592" w:rsidRPr="003E43AB" w:rsidRDefault="00000000" w:rsidP="00D148BA">
      <w:pPr>
        <w:spacing w:line="360" w:lineRule="auto"/>
        <w:ind w:left="737"/>
        <w:rPr>
          <w:rFonts w:ascii="Arial" w:hAnsi="Arial" w:cs="Arial"/>
          <w:b/>
          <w:bCs/>
          <w:color w:val="0B769F" w:themeColor="accent4" w:themeShade="BF"/>
          <w:sz w:val="28"/>
          <w:szCs w:val="28"/>
          <w:u w:val="single"/>
        </w:rPr>
      </w:pPr>
      <w:hyperlink r:id="rId6" w:history="1">
        <w:r w:rsidR="00153592" w:rsidRPr="003E43AB">
          <w:rPr>
            <w:rStyle w:val="Hyperlink"/>
            <w:rFonts w:ascii="Arial" w:hAnsi="Arial" w:cs="Arial"/>
            <w:b/>
            <w:bCs/>
            <w:color w:val="0B769F" w:themeColor="accent4" w:themeShade="BF"/>
            <w:sz w:val="24"/>
            <w:szCs w:val="24"/>
          </w:rPr>
          <w:t>https://indiadataportal.com/p/reserve-bank-of-india/r/rbi-groupwise_credit_by_scbs-dt-yr-vvi</w:t>
        </w:r>
      </w:hyperlink>
    </w:p>
    <w:p w14:paraId="7CAB93F7" w14:textId="1C461E0B" w:rsidR="000D46E5" w:rsidRPr="000279D1" w:rsidRDefault="000D46E5" w:rsidP="002315B8">
      <w:pPr>
        <w:pStyle w:val="Heading2"/>
        <w:numPr>
          <w:ilvl w:val="1"/>
          <w:numId w:val="9"/>
        </w:numPr>
        <w:tabs>
          <w:tab w:val="left" w:pos="263"/>
        </w:tabs>
        <w:spacing w:before="0" w:line="360" w:lineRule="auto"/>
        <w:ind w:left="1003"/>
        <w:rPr>
          <w:color w:val="0070C0"/>
        </w:rPr>
      </w:pPr>
      <w:r w:rsidRPr="000279D1">
        <w:rPr>
          <w:rFonts w:ascii="Arial" w:hAnsi="Arial" w:cs="Arial"/>
          <w:color w:val="0070C0"/>
          <w:sz w:val="24"/>
          <w:szCs w:val="24"/>
        </w:rPr>
        <w:t>Time Line</w:t>
      </w:r>
    </w:p>
    <w:p w14:paraId="08930075" w14:textId="09C249F2" w:rsidR="000D46E5" w:rsidRPr="003E43AB" w:rsidRDefault="000D46E5" w:rsidP="000279D1">
      <w:pPr>
        <w:pStyle w:val="ListParagraph"/>
        <w:spacing w:line="360" w:lineRule="auto"/>
        <w:ind w:left="432" w:firstLine="288"/>
        <w:rPr>
          <w:rFonts w:ascii="Arial" w:hAnsi="Arial" w:cs="Arial"/>
          <w:sz w:val="24"/>
          <w:szCs w:val="24"/>
        </w:rPr>
      </w:pPr>
      <w:r w:rsidRPr="003E43AB">
        <w:rPr>
          <w:rFonts w:ascii="Arial" w:hAnsi="Arial" w:cs="Arial"/>
          <w:sz w:val="24"/>
          <w:szCs w:val="24"/>
        </w:rPr>
        <w:t>The data set is created 2 years ago (2024) and last modified by 2025</w:t>
      </w:r>
      <w:r w:rsidR="00C80D0E" w:rsidRPr="003E43AB">
        <w:rPr>
          <w:rFonts w:ascii="Arial" w:hAnsi="Arial" w:cs="Arial"/>
          <w:sz w:val="24"/>
          <w:szCs w:val="24"/>
        </w:rPr>
        <w:t>. The dataset contains credit limit data from 201</w:t>
      </w:r>
      <w:r w:rsidR="008B5F13" w:rsidRPr="003E43AB">
        <w:rPr>
          <w:rFonts w:ascii="Arial" w:hAnsi="Arial" w:cs="Arial"/>
          <w:sz w:val="24"/>
          <w:szCs w:val="24"/>
        </w:rPr>
        <w:t>9</w:t>
      </w:r>
      <w:r w:rsidR="00C80D0E" w:rsidRPr="003E43AB">
        <w:rPr>
          <w:rFonts w:ascii="Arial" w:hAnsi="Arial" w:cs="Arial"/>
          <w:sz w:val="24"/>
          <w:szCs w:val="24"/>
        </w:rPr>
        <w:t xml:space="preserve"> to 202</w:t>
      </w:r>
      <w:r w:rsidR="008B5F13" w:rsidRPr="003E43AB">
        <w:rPr>
          <w:rFonts w:ascii="Arial" w:hAnsi="Arial" w:cs="Arial"/>
          <w:sz w:val="24"/>
          <w:szCs w:val="24"/>
        </w:rPr>
        <w:t>5</w:t>
      </w:r>
      <w:r w:rsidR="00C80D0E" w:rsidRPr="003E43AB">
        <w:rPr>
          <w:rFonts w:ascii="Arial" w:hAnsi="Arial" w:cs="Arial"/>
          <w:sz w:val="24"/>
          <w:szCs w:val="24"/>
        </w:rPr>
        <w:t xml:space="preserve">. And the data is </w:t>
      </w:r>
      <w:r w:rsidR="008B5F13" w:rsidRPr="003E43AB">
        <w:rPr>
          <w:rFonts w:ascii="Arial" w:hAnsi="Arial" w:cs="Arial"/>
          <w:sz w:val="24"/>
          <w:szCs w:val="24"/>
        </w:rPr>
        <w:t xml:space="preserve">being </w:t>
      </w:r>
      <w:r w:rsidR="00C80D0E" w:rsidRPr="003E43AB">
        <w:rPr>
          <w:rFonts w:ascii="Arial" w:hAnsi="Arial" w:cs="Arial"/>
          <w:sz w:val="24"/>
          <w:szCs w:val="24"/>
        </w:rPr>
        <w:t>updated yearly.</w:t>
      </w:r>
    </w:p>
    <w:p w14:paraId="74DE0A90" w14:textId="73778E8B" w:rsidR="000279D1" w:rsidRPr="000279D1" w:rsidRDefault="000279D1" w:rsidP="002315B8">
      <w:pPr>
        <w:pStyle w:val="Heading2"/>
        <w:numPr>
          <w:ilvl w:val="1"/>
          <w:numId w:val="9"/>
        </w:numPr>
        <w:tabs>
          <w:tab w:val="left" w:pos="263"/>
        </w:tabs>
        <w:spacing w:before="0" w:line="360" w:lineRule="auto"/>
        <w:ind w:left="1003"/>
        <w:rPr>
          <w:color w:val="0070C0"/>
        </w:rPr>
      </w:pPr>
      <w:r w:rsidRPr="000279D1">
        <w:rPr>
          <w:rFonts w:ascii="Arial" w:hAnsi="Arial" w:cs="Arial"/>
          <w:color w:val="0070C0"/>
          <w:sz w:val="24"/>
          <w:szCs w:val="24"/>
        </w:rPr>
        <w:t>Domain</w:t>
      </w:r>
    </w:p>
    <w:p w14:paraId="5944B9D5" w14:textId="253830C0" w:rsidR="00153592" w:rsidRPr="003E43AB" w:rsidRDefault="00C80D0E" w:rsidP="000279D1">
      <w:pPr>
        <w:pStyle w:val="ListParagraph"/>
        <w:spacing w:line="360" w:lineRule="auto"/>
        <w:ind w:left="432" w:firstLine="288"/>
        <w:rPr>
          <w:rFonts w:ascii="Arial" w:hAnsi="Arial" w:cs="Arial"/>
          <w:sz w:val="24"/>
          <w:szCs w:val="24"/>
        </w:rPr>
      </w:pPr>
      <w:r w:rsidRPr="003E43AB">
        <w:rPr>
          <w:rFonts w:ascii="Arial" w:hAnsi="Arial" w:cs="Arial"/>
          <w:sz w:val="24"/>
          <w:szCs w:val="24"/>
        </w:rPr>
        <w:t xml:space="preserve">The domain of the data is </w:t>
      </w:r>
      <w:r w:rsidR="00794EB2" w:rsidRPr="003E43AB">
        <w:rPr>
          <w:rFonts w:ascii="Arial" w:hAnsi="Arial" w:cs="Arial"/>
          <w:sz w:val="24"/>
          <w:szCs w:val="24"/>
        </w:rPr>
        <w:t>Finance-&gt;</w:t>
      </w:r>
      <w:r w:rsidRPr="003E43AB">
        <w:rPr>
          <w:rFonts w:ascii="Arial" w:hAnsi="Arial" w:cs="Arial"/>
          <w:sz w:val="24"/>
          <w:szCs w:val="24"/>
        </w:rPr>
        <w:t>Financial Inclu</w:t>
      </w:r>
      <w:r w:rsidR="00794EB2" w:rsidRPr="003E43AB">
        <w:rPr>
          <w:rFonts w:ascii="Arial" w:hAnsi="Arial" w:cs="Arial"/>
          <w:sz w:val="24"/>
          <w:szCs w:val="24"/>
        </w:rPr>
        <w:t>si</w:t>
      </w:r>
      <w:r w:rsidRPr="003E43AB">
        <w:rPr>
          <w:rFonts w:ascii="Arial" w:hAnsi="Arial" w:cs="Arial"/>
          <w:sz w:val="24"/>
          <w:szCs w:val="24"/>
        </w:rPr>
        <w:t>on</w:t>
      </w:r>
      <w:r w:rsidR="00794EB2" w:rsidRPr="003E43AB">
        <w:rPr>
          <w:rFonts w:ascii="Arial" w:hAnsi="Arial" w:cs="Arial"/>
          <w:sz w:val="24"/>
          <w:szCs w:val="24"/>
        </w:rPr>
        <w:t>.</w:t>
      </w:r>
    </w:p>
    <w:p w14:paraId="26791E6F" w14:textId="5E776E41" w:rsidR="00794EB2" w:rsidRPr="00897FB1" w:rsidRDefault="00897FB1" w:rsidP="002315B8">
      <w:pPr>
        <w:pStyle w:val="Heading2"/>
        <w:numPr>
          <w:ilvl w:val="0"/>
          <w:numId w:val="7"/>
        </w:numPr>
        <w:tabs>
          <w:tab w:val="left" w:pos="263"/>
        </w:tabs>
        <w:spacing w:before="100" w:beforeAutospacing="1" w:line="360" w:lineRule="auto"/>
        <w:rPr>
          <w:color w:val="0070C0"/>
          <w:sz w:val="32"/>
          <w:szCs w:val="32"/>
        </w:rPr>
      </w:pPr>
      <w:r>
        <w:rPr>
          <w:rFonts w:ascii="Arial" w:hAnsi="Arial" w:cs="Arial"/>
          <w:color w:val="0070C0"/>
        </w:rPr>
        <w:t xml:space="preserve"> </w:t>
      </w:r>
      <w:r w:rsidR="00794EB2" w:rsidRPr="00897FB1">
        <w:rPr>
          <w:rFonts w:ascii="Arial" w:hAnsi="Arial" w:cs="Arial"/>
          <w:color w:val="0070C0"/>
        </w:rPr>
        <w:t>Problem statement</w:t>
      </w:r>
    </w:p>
    <w:p w14:paraId="4DA3C174" w14:textId="29A4A5CB" w:rsidR="00100690" w:rsidRPr="00100690" w:rsidRDefault="00100690" w:rsidP="002315B8">
      <w:pPr>
        <w:pStyle w:val="ListParagraph"/>
        <w:numPr>
          <w:ilvl w:val="0"/>
          <w:numId w:val="5"/>
        </w:numPr>
        <w:spacing w:line="360" w:lineRule="auto"/>
        <w:ind w:left="700"/>
        <w:rPr>
          <w:rFonts w:ascii="Arial" w:hAnsi="Arial" w:cs="Arial"/>
          <w:sz w:val="24"/>
          <w:szCs w:val="24"/>
        </w:rPr>
      </w:pPr>
      <w:r w:rsidRPr="00100690">
        <w:rPr>
          <w:rFonts w:ascii="Arial" w:hAnsi="Arial" w:cs="Arial"/>
          <w:bCs/>
          <w:sz w:val="24"/>
          <w:szCs w:val="24"/>
        </w:rPr>
        <w:t>To map total credit</w:t>
      </w:r>
      <w:r w:rsidRPr="00100690">
        <w:rPr>
          <w:rFonts w:ascii="Arial" w:hAnsi="Arial" w:cs="Arial"/>
          <w:sz w:val="24"/>
          <w:szCs w:val="24"/>
        </w:rPr>
        <w:t xml:space="preserve"> by bank group across states, districts, and population segments (rural, urban, metropolitan) to identify geographic lending patterns.</w:t>
      </w:r>
    </w:p>
    <w:p w14:paraId="1E41657F" w14:textId="5235D626" w:rsidR="00100690" w:rsidRPr="00100690" w:rsidRDefault="00100690" w:rsidP="002315B8">
      <w:pPr>
        <w:pStyle w:val="ListParagraph"/>
        <w:numPr>
          <w:ilvl w:val="0"/>
          <w:numId w:val="4"/>
        </w:numPr>
        <w:spacing w:line="360" w:lineRule="auto"/>
        <w:rPr>
          <w:rFonts w:ascii="Arial" w:hAnsi="Arial" w:cs="Arial"/>
          <w:sz w:val="24"/>
          <w:szCs w:val="24"/>
        </w:rPr>
      </w:pPr>
      <w:r w:rsidRPr="00100690">
        <w:rPr>
          <w:rFonts w:ascii="Arial" w:hAnsi="Arial" w:cs="Arial"/>
          <w:bCs/>
          <w:sz w:val="24"/>
          <w:szCs w:val="24"/>
        </w:rPr>
        <w:t>To measure year</w:t>
      </w:r>
      <w:r w:rsidRPr="00100690">
        <w:rPr>
          <w:rFonts w:ascii="Arial" w:hAnsi="Arial" w:cs="Arial"/>
          <w:bCs/>
          <w:sz w:val="24"/>
          <w:szCs w:val="24"/>
        </w:rPr>
        <w:noBreakHyphen/>
        <w:t>wise</w:t>
      </w:r>
      <w:r w:rsidR="00F77224">
        <w:rPr>
          <w:rFonts w:ascii="Arial" w:hAnsi="Arial" w:cs="Arial"/>
          <w:bCs/>
          <w:sz w:val="24"/>
          <w:szCs w:val="24"/>
        </w:rPr>
        <w:t xml:space="preserve"> </w:t>
      </w:r>
      <w:r w:rsidRPr="00100690">
        <w:rPr>
          <w:rFonts w:ascii="Arial" w:hAnsi="Arial" w:cs="Arial"/>
          <w:bCs/>
          <w:sz w:val="24"/>
          <w:szCs w:val="24"/>
        </w:rPr>
        <w:t>changes</w:t>
      </w:r>
      <w:r w:rsidRPr="00100690">
        <w:rPr>
          <w:rFonts w:ascii="Arial" w:hAnsi="Arial" w:cs="Arial"/>
          <w:sz w:val="24"/>
          <w:szCs w:val="24"/>
        </w:rPr>
        <w:t xml:space="preserve"> in credit volumes to reveal long</w:t>
      </w:r>
      <w:r w:rsidRPr="00100690">
        <w:rPr>
          <w:rFonts w:ascii="Arial" w:hAnsi="Arial" w:cs="Arial"/>
          <w:sz w:val="24"/>
          <w:szCs w:val="24"/>
        </w:rPr>
        <w:noBreakHyphen/>
        <w:t>term trends and recent shifts.</w:t>
      </w:r>
    </w:p>
    <w:p w14:paraId="4DDF7142" w14:textId="77777777" w:rsidR="00100690" w:rsidRPr="00100690" w:rsidRDefault="00100690" w:rsidP="002315B8">
      <w:pPr>
        <w:pStyle w:val="ListParagraph"/>
        <w:numPr>
          <w:ilvl w:val="0"/>
          <w:numId w:val="4"/>
        </w:numPr>
        <w:spacing w:line="360" w:lineRule="auto"/>
        <w:rPr>
          <w:rFonts w:ascii="Arial" w:hAnsi="Arial" w:cs="Arial"/>
          <w:sz w:val="24"/>
          <w:szCs w:val="24"/>
        </w:rPr>
      </w:pPr>
      <w:r w:rsidRPr="00100690">
        <w:rPr>
          <w:rFonts w:ascii="Arial" w:hAnsi="Arial" w:cs="Arial"/>
          <w:bCs/>
          <w:sz w:val="24"/>
          <w:szCs w:val="24"/>
        </w:rPr>
        <w:t>To compare current credit levels with historical baselines</w:t>
      </w:r>
      <w:r w:rsidRPr="00100690">
        <w:rPr>
          <w:rFonts w:ascii="Arial" w:hAnsi="Arial" w:cs="Arial"/>
          <w:sz w:val="24"/>
          <w:szCs w:val="24"/>
        </w:rPr>
        <w:t xml:space="preserve"> to pinpoint regions and bank groups experiencing significant credit decline.</w:t>
      </w:r>
    </w:p>
    <w:p w14:paraId="1008CCB1" w14:textId="77777777" w:rsidR="00100690" w:rsidRPr="00100690" w:rsidRDefault="00100690" w:rsidP="002315B8">
      <w:pPr>
        <w:pStyle w:val="ListParagraph"/>
        <w:numPr>
          <w:ilvl w:val="0"/>
          <w:numId w:val="4"/>
        </w:numPr>
        <w:spacing w:line="360" w:lineRule="auto"/>
        <w:rPr>
          <w:rFonts w:ascii="Arial" w:hAnsi="Arial" w:cs="Arial"/>
          <w:sz w:val="24"/>
          <w:szCs w:val="24"/>
        </w:rPr>
      </w:pPr>
      <w:r w:rsidRPr="00100690">
        <w:rPr>
          <w:rFonts w:ascii="Arial" w:hAnsi="Arial" w:cs="Arial"/>
          <w:bCs/>
          <w:sz w:val="24"/>
          <w:szCs w:val="24"/>
        </w:rPr>
        <w:t>To classify regions and bank</w:t>
      </w:r>
      <w:r w:rsidRPr="00100690">
        <w:rPr>
          <w:rFonts w:ascii="Arial" w:hAnsi="Arial" w:cs="Arial"/>
          <w:bCs/>
          <w:sz w:val="24"/>
          <w:szCs w:val="24"/>
        </w:rPr>
        <w:noBreakHyphen/>
        <w:t>sector pairs</w:t>
      </w:r>
      <w:r w:rsidRPr="00100690">
        <w:rPr>
          <w:rFonts w:ascii="Arial" w:hAnsi="Arial" w:cs="Arial"/>
          <w:sz w:val="24"/>
          <w:szCs w:val="24"/>
        </w:rPr>
        <w:t xml:space="preserve"> into </w:t>
      </w:r>
      <w:r w:rsidRPr="00100690">
        <w:rPr>
          <w:rFonts w:ascii="Arial" w:hAnsi="Arial" w:cs="Arial"/>
          <w:bCs/>
          <w:sz w:val="24"/>
          <w:szCs w:val="24"/>
        </w:rPr>
        <w:t>safe, moderate, critical, and over</w:t>
      </w:r>
      <w:r w:rsidRPr="00100690">
        <w:rPr>
          <w:rFonts w:ascii="Arial" w:hAnsi="Arial" w:cs="Arial"/>
          <w:bCs/>
          <w:sz w:val="24"/>
          <w:szCs w:val="24"/>
        </w:rPr>
        <w:noBreakHyphen/>
        <w:t>exploited</w:t>
      </w:r>
      <w:r w:rsidRPr="00100690">
        <w:rPr>
          <w:rFonts w:ascii="Arial" w:hAnsi="Arial" w:cs="Arial"/>
          <w:sz w:val="24"/>
          <w:szCs w:val="24"/>
        </w:rPr>
        <w:t xml:space="preserve"> categories based on utilization and growth metrics.</w:t>
      </w:r>
    </w:p>
    <w:p w14:paraId="3CA1625D" w14:textId="77777777" w:rsidR="00100690" w:rsidRPr="00100690" w:rsidRDefault="00100690" w:rsidP="002315B8">
      <w:pPr>
        <w:pStyle w:val="ListParagraph"/>
        <w:numPr>
          <w:ilvl w:val="0"/>
          <w:numId w:val="4"/>
        </w:numPr>
        <w:spacing w:line="360" w:lineRule="auto"/>
        <w:rPr>
          <w:rFonts w:ascii="Arial" w:hAnsi="Arial" w:cs="Arial"/>
          <w:sz w:val="24"/>
          <w:szCs w:val="24"/>
        </w:rPr>
      </w:pPr>
      <w:r w:rsidRPr="00100690">
        <w:rPr>
          <w:rFonts w:ascii="Arial" w:hAnsi="Arial" w:cs="Arial"/>
          <w:bCs/>
          <w:sz w:val="24"/>
          <w:szCs w:val="24"/>
        </w:rPr>
        <w:lastRenderedPageBreak/>
        <w:t>To decompose credit growth</w:t>
      </w:r>
      <w:r w:rsidRPr="00100690">
        <w:rPr>
          <w:rFonts w:ascii="Arial" w:hAnsi="Arial" w:cs="Arial"/>
          <w:sz w:val="24"/>
          <w:szCs w:val="24"/>
        </w:rPr>
        <w:t xml:space="preserve"> into volume and composition effects to understand whether growth is driven by sectoral shifts or overall expansion.</w:t>
      </w:r>
    </w:p>
    <w:p w14:paraId="16476F3E" w14:textId="77777777" w:rsidR="00100690" w:rsidRPr="00100690" w:rsidRDefault="00100690" w:rsidP="002315B8">
      <w:pPr>
        <w:pStyle w:val="ListParagraph"/>
        <w:numPr>
          <w:ilvl w:val="0"/>
          <w:numId w:val="4"/>
        </w:numPr>
        <w:spacing w:line="360" w:lineRule="auto"/>
        <w:rPr>
          <w:rFonts w:ascii="Arial" w:hAnsi="Arial" w:cs="Arial"/>
          <w:sz w:val="24"/>
          <w:szCs w:val="24"/>
        </w:rPr>
      </w:pPr>
      <w:r w:rsidRPr="00100690">
        <w:rPr>
          <w:rFonts w:ascii="Arial" w:hAnsi="Arial" w:cs="Arial"/>
          <w:bCs/>
          <w:sz w:val="24"/>
          <w:szCs w:val="24"/>
        </w:rPr>
        <w:t>To quantify sectoral composition</w:t>
      </w:r>
      <w:r w:rsidRPr="00100690">
        <w:rPr>
          <w:rFonts w:ascii="Arial" w:hAnsi="Arial" w:cs="Arial"/>
          <w:sz w:val="24"/>
          <w:szCs w:val="24"/>
        </w:rPr>
        <w:t xml:space="preserve"> (agriculture, industry, housing, personal) by region and bank group to detect structural changes in lending.</w:t>
      </w:r>
    </w:p>
    <w:p w14:paraId="4D834EC0" w14:textId="77777777" w:rsidR="00100690" w:rsidRPr="00100690" w:rsidRDefault="00100690" w:rsidP="002315B8">
      <w:pPr>
        <w:pStyle w:val="ListParagraph"/>
        <w:numPr>
          <w:ilvl w:val="0"/>
          <w:numId w:val="4"/>
        </w:numPr>
        <w:spacing w:line="360" w:lineRule="auto"/>
        <w:rPr>
          <w:rFonts w:ascii="Arial" w:hAnsi="Arial" w:cs="Arial"/>
          <w:sz w:val="24"/>
          <w:szCs w:val="24"/>
        </w:rPr>
      </w:pPr>
      <w:r w:rsidRPr="00100690">
        <w:rPr>
          <w:rFonts w:ascii="Arial" w:hAnsi="Arial" w:cs="Arial"/>
          <w:bCs/>
          <w:sz w:val="24"/>
          <w:szCs w:val="24"/>
        </w:rPr>
        <w:t>To compute concentration and risk metrics</w:t>
      </w:r>
      <w:r w:rsidRPr="00100690">
        <w:rPr>
          <w:rFonts w:ascii="Arial" w:hAnsi="Arial" w:cs="Arial"/>
          <w:sz w:val="24"/>
          <w:szCs w:val="24"/>
        </w:rPr>
        <w:t xml:space="preserve"> (top</w:t>
      </w:r>
      <w:r w:rsidRPr="00100690">
        <w:rPr>
          <w:rFonts w:ascii="Arial" w:hAnsi="Arial" w:cs="Arial"/>
          <w:sz w:val="24"/>
          <w:szCs w:val="24"/>
        </w:rPr>
        <w:noBreakHyphen/>
        <w:t>3 share, Herfindahl</w:t>
      </w:r>
      <w:r w:rsidRPr="00100690">
        <w:rPr>
          <w:rFonts w:ascii="Arial" w:hAnsi="Arial" w:cs="Arial"/>
          <w:sz w:val="24"/>
          <w:szCs w:val="24"/>
        </w:rPr>
        <w:noBreakHyphen/>
        <w:t>Hirschman Index) to identify high</w:t>
      </w:r>
      <w:r w:rsidRPr="00100690">
        <w:rPr>
          <w:rFonts w:ascii="Arial" w:hAnsi="Arial" w:cs="Arial"/>
          <w:sz w:val="24"/>
          <w:szCs w:val="24"/>
        </w:rPr>
        <w:noBreakHyphen/>
        <w:t>exposure bank groups and sectors.</w:t>
      </w:r>
    </w:p>
    <w:p w14:paraId="7FB5186A" w14:textId="5D4CD543" w:rsidR="00794EB2" w:rsidRPr="003E43AB" w:rsidRDefault="00100690" w:rsidP="002315B8">
      <w:pPr>
        <w:pStyle w:val="ListParagraph"/>
        <w:numPr>
          <w:ilvl w:val="0"/>
          <w:numId w:val="4"/>
        </w:numPr>
        <w:spacing w:line="360" w:lineRule="auto"/>
        <w:rPr>
          <w:rFonts w:ascii="Arial" w:hAnsi="Arial" w:cs="Arial"/>
          <w:sz w:val="24"/>
          <w:szCs w:val="24"/>
        </w:rPr>
      </w:pPr>
      <w:r w:rsidRPr="00100690">
        <w:rPr>
          <w:rFonts w:ascii="Arial" w:hAnsi="Arial" w:cs="Arial"/>
          <w:bCs/>
          <w:sz w:val="24"/>
          <w:szCs w:val="24"/>
        </w:rPr>
        <w:t>To produce an interactive dashboard</w:t>
      </w:r>
      <w:r w:rsidRPr="00100690">
        <w:rPr>
          <w:rFonts w:ascii="Arial" w:hAnsi="Arial" w:cs="Arial"/>
          <w:sz w:val="24"/>
          <w:szCs w:val="24"/>
        </w:rPr>
        <w:t xml:space="preserve"> with slicers and drilldowns for Year, Bank Group, Region, and Sector to support stakeholder </w:t>
      </w:r>
      <w:r w:rsidRPr="003E43AB">
        <w:rPr>
          <w:rFonts w:ascii="Arial" w:hAnsi="Arial" w:cs="Arial"/>
          <w:sz w:val="24"/>
          <w:szCs w:val="24"/>
        </w:rPr>
        <w:t>exploration.</w:t>
      </w:r>
    </w:p>
    <w:p w14:paraId="64D46C9D" w14:textId="43E5193F" w:rsidR="000279D1" w:rsidRPr="000279D1" w:rsidRDefault="000279D1" w:rsidP="000279D1">
      <w:pPr>
        <w:pStyle w:val="Heading2"/>
        <w:tabs>
          <w:tab w:val="left" w:pos="263"/>
        </w:tabs>
        <w:spacing w:before="100" w:beforeAutospacing="1" w:line="360" w:lineRule="auto"/>
        <w:rPr>
          <w:color w:val="0070C0"/>
        </w:rPr>
      </w:pPr>
      <w:r w:rsidRPr="000279D1">
        <w:rPr>
          <w:color w:val="0070C0"/>
        </w:rPr>
        <w:t>4.  Attribute (Columns/Features) Details:</w:t>
      </w:r>
    </w:p>
    <w:tbl>
      <w:tblPr>
        <w:tblStyle w:val="TableGrid"/>
        <w:tblW w:w="0" w:type="auto"/>
        <w:tblInd w:w="432" w:type="dxa"/>
        <w:tblLook w:val="04A0" w:firstRow="1" w:lastRow="0" w:firstColumn="1" w:lastColumn="0" w:noHBand="0" w:noVBand="1"/>
      </w:tblPr>
      <w:tblGrid>
        <w:gridCol w:w="2874"/>
        <w:gridCol w:w="2834"/>
        <w:gridCol w:w="2876"/>
      </w:tblGrid>
      <w:tr w:rsidR="00D444E6" w:rsidRPr="000279D1" w14:paraId="79F236DA" w14:textId="77777777" w:rsidTr="000279D1">
        <w:tc>
          <w:tcPr>
            <w:tcW w:w="2874" w:type="dxa"/>
          </w:tcPr>
          <w:p w14:paraId="63A3AB51" w14:textId="2C855097" w:rsidR="00D444E6" w:rsidRPr="000279D1" w:rsidRDefault="00D444E6" w:rsidP="00D444E6">
            <w:pPr>
              <w:pStyle w:val="ListParagraph"/>
              <w:spacing w:line="360" w:lineRule="auto"/>
              <w:ind w:left="0"/>
              <w:rPr>
                <w:rFonts w:ascii="Arial" w:hAnsi="Arial" w:cs="Arial"/>
                <w:b/>
                <w:sz w:val="24"/>
                <w:szCs w:val="24"/>
              </w:rPr>
            </w:pPr>
            <w:r w:rsidRPr="000279D1">
              <w:rPr>
                <w:rFonts w:ascii="Arial" w:hAnsi="Arial" w:cs="Arial"/>
                <w:b/>
                <w:sz w:val="24"/>
                <w:szCs w:val="24"/>
              </w:rPr>
              <w:t>Attribute Name</w:t>
            </w:r>
          </w:p>
        </w:tc>
        <w:tc>
          <w:tcPr>
            <w:tcW w:w="2834" w:type="dxa"/>
          </w:tcPr>
          <w:p w14:paraId="18F0306C" w14:textId="4E62CE92" w:rsidR="00D444E6" w:rsidRPr="000279D1" w:rsidRDefault="00D444E6" w:rsidP="00D444E6">
            <w:pPr>
              <w:pStyle w:val="ListParagraph"/>
              <w:spacing w:line="360" w:lineRule="auto"/>
              <w:ind w:left="0"/>
              <w:rPr>
                <w:rFonts w:ascii="Arial" w:hAnsi="Arial" w:cs="Arial"/>
                <w:b/>
                <w:sz w:val="24"/>
                <w:szCs w:val="24"/>
              </w:rPr>
            </w:pPr>
            <w:r w:rsidRPr="000279D1">
              <w:rPr>
                <w:rFonts w:ascii="Arial" w:hAnsi="Arial" w:cs="Arial"/>
                <w:b/>
                <w:sz w:val="24"/>
                <w:szCs w:val="24"/>
              </w:rPr>
              <w:t>Data Type</w:t>
            </w:r>
          </w:p>
        </w:tc>
        <w:tc>
          <w:tcPr>
            <w:tcW w:w="2876" w:type="dxa"/>
          </w:tcPr>
          <w:p w14:paraId="517E6B96" w14:textId="677F19CD" w:rsidR="00D444E6" w:rsidRPr="000279D1" w:rsidRDefault="00D444E6" w:rsidP="00D444E6">
            <w:pPr>
              <w:pStyle w:val="ListParagraph"/>
              <w:spacing w:line="360" w:lineRule="auto"/>
              <w:ind w:left="0"/>
              <w:rPr>
                <w:rFonts w:ascii="Arial" w:hAnsi="Arial" w:cs="Arial"/>
                <w:b/>
                <w:sz w:val="24"/>
                <w:szCs w:val="24"/>
              </w:rPr>
            </w:pPr>
            <w:r w:rsidRPr="000279D1">
              <w:rPr>
                <w:rFonts w:ascii="Arial" w:hAnsi="Arial" w:cs="Arial"/>
                <w:b/>
                <w:sz w:val="24"/>
                <w:szCs w:val="24"/>
              </w:rPr>
              <w:t>Description</w:t>
            </w:r>
          </w:p>
        </w:tc>
      </w:tr>
      <w:tr w:rsidR="00D444E6" w:rsidRPr="003E43AB" w14:paraId="54A55E53" w14:textId="77777777" w:rsidTr="000279D1">
        <w:tc>
          <w:tcPr>
            <w:tcW w:w="2874" w:type="dxa"/>
          </w:tcPr>
          <w:p w14:paraId="5C2F2F79" w14:textId="098CE8BA" w:rsidR="00D444E6"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Year</w:t>
            </w:r>
          </w:p>
        </w:tc>
        <w:tc>
          <w:tcPr>
            <w:tcW w:w="2834" w:type="dxa"/>
          </w:tcPr>
          <w:p w14:paraId="193D0C8D" w14:textId="70F55BD2" w:rsidR="00D444E6"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Number</w:t>
            </w:r>
          </w:p>
        </w:tc>
        <w:tc>
          <w:tcPr>
            <w:tcW w:w="2876" w:type="dxa"/>
          </w:tcPr>
          <w:p w14:paraId="56173DA9" w14:textId="015895F3" w:rsidR="00D444E6"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Year of the credit</w:t>
            </w:r>
          </w:p>
        </w:tc>
      </w:tr>
      <w:tr w:rsidR="00652303" w:rsidRPr="003E43AB" w14:paraId="6F15E7F3" w14:textId="77777777" w:rsidTr="000279D1">
        <w:tc>
          <w:tcPr>
            <w:tcW w:w="2874" w:type="dxa"/>
          </w:tcPr>
          <w:p w14:paraId="7C581EA1" w14:textId="14C46CFD"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Region</w:t>
            </w:r>
          </w:p>
        </w:tc>
        <w:tc>
          <w:tcPr>
            <w:tcW w:w="2834" w:type="dxa"/>
          </w:tcPr>
          <w:p w14:paraId="5B9C0C9C" w14:textId="47B8D9C5"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Text</w:t>
            </w:r>
          </w:p>
        </w:tc>
        <w:tc>
          <w:tcPr>
            <w:tcW w:w="2876" w:type="dxa"/>
          </w:tcPr>
          <w:p w14:paraId="0C9C9BE9" w14:textId="0CD34CF7"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Region of the Bank</w:t>
            </w:r>
          </w:p>
        </w:tc>
      </w:tr>
      <w:tr w:rsidR="00652303" w:rsidRPr="003E43AB" w14:paraId="20A2D2AE" w14:textId="77777777" w:rsidTr="000279D1">
        <w:tc>
          <w:tcPr>
            <w:tcW w:w="2874" w:type="dxa"/>
          </w:tcPr>
          <w:p w14:paraId="5EB8861B" w14:textId="2628F8F3"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State</w:t>
            </w:r>
          </w:p>
        </w:tc>
        <w:tc>
          <w:tcPr>
            <w:tcW w:w="2834" w:type="dxa"/>
          </w:tcPr>
          <w:p w14:paraId="67FD94B2" w14:textId="19873E13"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Text</w:t>
            </w:r>
          </w:p>
        </w:tc>
        <w:tc>
          <w:tcPr>
            <w:tcW w:w="2876" w:type="dxa"/>
          </w:tcPr>
          <w:p w14:paraId="063E572B" w14:textId="648764E7"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Sate the bank located</w:t>
            </w:r>
          </w:p>
        </w:tc>
      </w:tr>
      <w:tr w:rsidR="00652303" w:rsidRPr="003E43AB" w14:paraId="611DAF43" w14:textId="77777777" w:rsidTr="000279D1">
        <w:tc>
          <w:tcPr>
            <w:tcW w:w="2874" w:type="dxa"/>
          </w:tcPr>
          <w:p w14:paraId="61660EC8" w14:textId="1F4830D9"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District</w:t>
            </w:r>
          </w:p>
        </w:tc>
        <w:tc>
          <w:tcPr>
            <w:tcW w:w="2834" w:type="dxa"/>
          </w:tcPr>
          <w:p w14:paraId="2352099E" w14:textId="74651AC4"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Text</w:t>
            </w:r>
          </w:p>
        </w:tc>
        <w:tc>
          <w:tcPr>
            <w:tcW w:w="2876" w:type="dxa"/>
          </w:tcPr>
          <w:p w14:paraId="1D47A8A6" w14:textId="046F9640"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District of the band</w:t>
            </w:r>
          </w:p>
        </w:tc>
      </w:tr>
      <w:tr w:rsidR="00652303" w:rsidRPr="003E43AB" w14:paraId="1DC4A7F6" w14:textId="77777777" w:rsidTr="000279D1">
        <w:tc>
          <w:tcPr>
            <w:tcW w:w="2874" w:type="dxa"/>
          </w:tcPr>
          <w:p w14:paraId="64693D24" w14:textId="6F5F5B41"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Population Group</w:t>
            </w:r>
          </w:p>
        </w:tc>
        <w:tc>
          <w:tcPr>
            <w:tcW w:w="2834" w:type="dxa"/>
          </w:tcPr>
          <w:p w14:paraId="345B8032" w14:textId="65C0D66C"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Text</w:t>
            </w:r>
          </w:p>
        </w:tc>
        <w:tc>
          <w:tcPr>
            <w:tcW w:w="2876" w:type="dxa"/>
          </w:tcPr>
          <w:p w14:paraId="3551CA24" w14:textId="7BE3660D"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 xml:space="preserve">Location type </w:t>
            </w:r>
          </w:p>
        </w:tc>
      </w:tr>
      <w:tr w:rsidR="00652303" w:rsidRPr="003E43AB" w14:paraId="6B8EBB9E" w14:textId="77777777" w:rsidTr="000279D1">
        <w:tc>
          <w:tcPr>
            <w:tcW w:w="2874" w:type="dxa"/>
          </w:tcPr>
          <w:p w14:paraId="7F6D56D3" w14:textId="1D9419F7"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Bank Group</w:t>
            </w:r>
          </w:p>
        </w:tc>
        <w:tc>
          <w:tcPr>
            <w:tcW w:w="2834" w:type="dxa"/>
          </w:tcPr>
          <w:p w14:paraId="20A8C6FA" w14:textId="28C86400"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Text</w:t>
            </w:r>
          </w:p>
        </w:tc>
        <w:tc>
          <w:tcPr>
            <w:tcW w:w="2876" w:type="dxa"/>
          </w:tcPr>
          <w:p w14:paraId="05E63513" w14:textId="71780692"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Type of bank</w:t>
            </w:r>
          </w:p>
        </w:tc>
      </w:tr>
      <w:tr w:rsidR="00652303" w:rsidRPr="003E43AB" w14:paraId="36CA0620" w14:textId="77777777" w:rsidTr="000279D1">
        <w:tc>
          <w:tcPr>
            <w:tcW w:w="2874" w:type="dxa"/>
          </w:tcPr>
          <w:p w14:paraId="1E14C053" w14:textId="474DB687"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Occupation group</w:t>
            </w:r>
          </w:p>
        </w:tc>
        <w:tc>
          <w:tcPr>
            <w:tcW w:w="2834" w:type="dxa"/>
          </w:tcPr>
          <w:p w14:paraId="1D22F8FC" w14:textId="675B63C1"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Text</w:t>
            </w:r>
          </w:p>
        </w:tc>
        <w:tc>
          <w:tcPr>
            <w:tcW w:w="2876" w:type="dxa"/>
          </w:tcPr>
          <w:p w14:paraId="61B6A44D" w14:textId="271C35AB"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Type of sector the loan was given</w:t>
            </w:r>
          </w:p>
        </w:tc>
      </w:tr>
      <w:tr w:rsidR="00652303" w:rsidRPr="003E43AB" w14:paraId="0390BC1F" w14:textId="77777777" w:rsidTr="000279D1">
        <w:tc>
          <w:tcPr>
            <w:tcW w:w="2874" w:type="dxa"/>
          </w:tcPr>
          <w:p w14:paraId="10BD2E84" w14:textId="7FE52696"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Occupation subgroup</w:t>
            </w:r>
          </w:p>
        </w:tc>
        <w:tc>
          <w:tcPr>
            <w:tcW w:w="2834" w:type="dxa"/>
          </w:tcPr>
          <w:p w14:paraId="44AE35A0" w14:textId="2AB11ABC"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Text</w:t>
            </w:r>
          </w:p>
        </w:tc>
        <w:tc>
          <w:tcPr>
            <w:tcW w:w="2876" w:type="dxa"/>
          </w:tcPr>
          <w:p w14:paraId="6A4C1363" w14:textId="137BC2C1" w:rsidR="00652303" w:rsidRPr="003E43AB" w:rsidRDefault="00BF31B6" w:rsidP="00D444E6">
            <w:pPr>
              <w:pStyle w:val="ListParagraph"/>
              <w:spacing w:line="360" w:lineRule="auto"/>
              <w:ind w:left="0"/>
              <w:rPr>
                <w:rFonts w:ascii="Arial" w:hAnsi="Arial" w:cs="Arial"/>
                <w:sz w:val="24"/>
                <w:szCs w:val="24"/>
              </w:rPr>
            </w:pPr>
            <w:r w:rsidRPr="003E43AB">
              <w:rPr>
                <w:rFonts w:ascii="Arial" w:hAnsi="Arial" w:cs="Arial"/>
                <w:sz w:val="24"/>
                <w:szCs w:val="24"/>
              </w:rPr>
              <w:t>Subtype of the sector</w:t>
            </w:r>
          </w:p>
        </w:tc>
      </w:tr>
      <w:tr w:rsidR="00652303" w:rsidRPr="003E43AB" w14:paraId="2F1C74C8" w14:textId="77777777" w:rsidTr="000279D1">
        <w:tc>
          <w:tcPr>
            <w:tcW w:w="2874" w:type="dxa"/>
          </w:tcPr>
          <w:p w14:paraId="08AC2C4A" w14:textId="741179DB"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Number of accounts</w:t>
            </w:r>
          </w:p>
        </w:tc>
        <w:tc>
          <w:tcPr>
            <w:tcW w:w="2834" w:type="dxa"/>
          </w:tcPr>
          <w:p w14:paraId="502BC695" w14:textId="4C1BF36B"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Number</w:t>
            </w:r>
          </w:p>
        </w:tc>
        <w:tc>
          <w:tcPr>
            <w:tcW w:w="2876" w:type="dxa"/>
          </w:tcPr>
          <w:p w14:paraId="3A6E28B5" w14:textId="65EBA289" w:rsidR="00652303" w:rsidRPr="003E43AB" w:rsidRDefault="00BF31B6" w:rsidP="00D444E6">
            <w:pPr>
              <w:pStyle w:val="ListParagraph"/>
              <w:spacing w:line="360" w:lineRule="auto"/>
              <w:ind w:left="0"/>
              <w:rPr>
                <w:rFonts w:ascii="Arial" w:hAnsi="Arial" w:cs="Arial"/>
                <w:sz w:val="24"/>
                <w:szCs w:val="24"/>
              </w:rPr>
            </w:pPr>
            <w:r w:rsidRPr="003E43AB">
              <w:rPr>
                <w:rFonts w:ascii="Arial" w:hAnsi="Arial" w:cs="Arial"/>
                <w:sz w:val="24"/>
                <w:szCs w:val="24"/>
              </w:rPr>
              <w:t>No. of accounts lent money in particular Bank</w:t>
            </w:r>
          </w:p>
        </w:tc>
      </w:tr>
      <w:tr w:rsidR="00652303" w:rsidRPr="003E43AB" w14:paraId="0B0F7F8A" w14:textId="77777777" w:rsidTr="000279D1">
        <w:tc>
          <w:tcPr>
            <w:tcW w:w="2874" w:type="dxa"/>
          </w:tcPr>
          <w:p w14:paraId="4955D901" w14:textId="4CBBB6E8"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Amount credit</w:t>
            </w:r>
          </w:p>
        </w:tc>
        <w:tc>
          <w:tcPr>
            <w:tcW w:w="2834" w:type="dxa"/>
          </w:tcPr>
          <w:p w14:paraId="7D72CB15" w14:textId="0FD07B6E"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Number</w:t>
            </w:r>
          </w:p>
        </w:tc>
        <w:tc>
          <w:tcPr>
            <w:tcW w:w="2876" w:type="dxa"/>
          </w:tcPr>
          <w:p w14:paraId="37E5EF06" w14:textId="10267BA1" w:rsidR="00652303" w:rsidRPr="003E43AB" w:rsidRDefault="00BF31B6" w:rsidP="00D444E6">
            <w:pPr>
              <w:pStyle w:val="ListParagraph"/>
              <w:spacing w:line="360" w:lineRule="auto"/>
              <w:ind w:left="0"/>
              <w:rPr>
                <w:rFonts w:ascii="Arial" w:hAnsi="Arial" w:cs="Arial"/>
                <w:sz w:val="24"/>
                <w:szCs w:val="24"/>
              </w:rPr>
            </w:pPr>
            <w:r w:rsidRPr="003E43AB">
              <w:rPr>
                <w:rFonts w:ascii="Arial" w:hAnsi="Arial" w:cs="Arial"/>
                <w:sz w:val="24"/>
                <w:szCs w:val="24"/>
              </w:rPr>
              <w:t>Amount of loan</w:t>
            </w:r>
          </w:p>
        </w:tc>
      </w:tr>
      <w:tr w:rsidR="00652303" w:rsidRPr="003E43AB" w14:paraId="56C6DD4C" w14:textId="77777777" w:rsidTr="000279D1">
        <w:tc>
          <w:tcPr>
            <w:tcW w:w="2874" w:type="dxa"/>
          </w:tcPr>
          <w:p w14:paraId="454A581D" w14:textId="7904E361"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 xml:space="preserve">Amount </w:t>
            </w:r>
            <w:r w:rsidR="00BF31B6" w:rsidRPr="003E43AB">
              <w:rPr>
                <w:rFonts w:ascii="Arial" w:hAnsi="Arial" w:cs="Arial"/>
                <w:sz w:val="24"/>
                <w:szCs w:val="24"/>
              </w:rPr>
              <w:t>Outstanding</w:t>
            </w:r>
          </w:p>
        </w:tc>
        <w:tc>
          <w:tcPr>
            <w:tcW w:w="2834" w:type="dxa"/>
          </w:tcPr>
          <w:p w14:paraId="50232C66" w14:textId="67561C25" w:rsidR="00652303" w:rsidRPr="003E43AB" w:rsidRDefault="00652303" w:rsidP="00D444E6">
            <w:pPr>
              <w:pStyle w:val="ListParagraph"/>
              <w:spacing w:line="360" w:lineRule="auto"/>
              <w:ind w:left="0"/>
              <w:rPr>
                <w:rFonts w:ascii="Arial" w:hAnsi="Arial" w:cs="Arial"/>
                <w:sz w:val="24"/>
                <w:szCs w:val="24"/>
              </w:rPr>
            </w:pPr>
            <w:r w:rsidRPr="003E43AB">
              <w:rPr>
                <w:rFonts w:ascii="Arial" w:hAnsi="Arial" w:cs="Arial"/>
                <w:sz w:val="24"/>
                <w:szCs w:val="24"/>
              </w:rPr>
              <w:t>Number</w:t>
            </w:r>
          </w:p>
        </w:tc>
        <w:tc>
          <w:tcPr>
            <w:tcW w:w="2876" w:type="dxa"/>
          </w:tcPr>
          <w:p w14:paraId="706B130D" w14:textId="04AD2015" w:rsidR="00652303" w:rsidRPr="003E43AB" w:rsidRDefault="00BF31B6" w:rsidP="00D444E6">
            <w:pPr>
              <w:pStyle w:val="ListParagraph"/>
              <w:spacing w:line="360" w:lineRule="auto"/>
              <w:ind w:left="0"/>
              <w:rPr>
                <w:rFonts w:ascii="Arial" w:hAnsi="Arial" w:cs="Arial"/>
                <w:sz w:val="24"/>
                <w:szCs w:val="24"/>
              </w:rPr>
            </w:pPr>
            <w:r w:rsidRPr="003E43AB">
              <w:rPr>
                <w:rFonts w:ascii="Arial" w:hAnsi="Arial" w:cs="Arial"/>
                <w:sz w:val="24"/>
                <w:szCs w:val="24"/>
              </w:rPr>
              <w:t>Amount that to be paid by the sectors</w:t>
            </w:r>
          </w:p>
        </w:tc>
      </w:tr>
    </w:tbl>
    <w:p w14:paraId="6E25EEB2" w14:textId="049AFF04" w:rsidR="003E43AB" w:rsidRPr="003E43AB" w:rsidRDefault="000279D1" w:rsidP="000279D1">
      <w:pPr>
        <w:pStyle w:val="Heading2"/>
        <w:tabs>
          <w:tab w:val="left" w:pos="263"/>
        </w:tabs>
        <w:spacing w:before="217"/>
        <w:rPr>
          <w:rFonts w:ascii="Arial" w:hAnsi="Arial" w:cs="Arial"/>
          <w:color w:val="0070C0"/>
        </w:rPr>
      </w:pPr>
      <w:r>
        <w:rPr>
          <w:rFonts w:ascii="Arial" w:hAnsi="Arial" w:cs="Arial"/>
          <w:color w:val="0070C0"/>
        </w:rPr>
        <w:t xml:space="preserve">5. </w:t>
      </w:r>
      <w:r w:rsidR="003E43AB" w:rsidRPr="003E43AB">
        <w:rPr>
          <w:rFonts w:ascii="Arial" w:hAnsi="Arial" w:cs="Arial"/>
          <w:color w:val="0070C0"/>
        </w:rPr>
        <w:t>Tools</w:t>
      </w:r>
      <w:r w:rsidR="003E43AB" w:rsidRPr="003E43AB">
        <w:rPr>
          <w:rFonts w:ascii="Arial" w:hAnsi="Arial" w:cs="Arial"/>
          <w:color w:val="0070C0"/>
          <w:spacing w:val="-14"/>
        </w:rPr>
        <w:t xml:space="preserve"> </w:t>
      </w:r>
      <w:r w:rsidR="003E43AB" w:rsidRPr="003E43AB">
        <w:rPr>
          <w:rFonts w:ascii="Arial" w:hAnsi="Arial" w:cs="Arial"/>
          <w:color w:val="0070C0"/>
        </w:rPr>
        <w:t>&amp;</w:t>
      </w:r>
      <w:r w:rsidR="003E43AB" w:rsidRPr="003E43AB">
        <w:rPr>
          <w:rFonts w:ascii="Arial" w:hAnsi="Arial" w:cs="Arial"/>
          <w:color w:val="0070C0"/>
          <w:spacing w:val="-11"/>
        </w:rPr>
        <w:t xml:space="preserve"> </w:t>
      </w:r>
      <w:r w:rsidR="003E43AB" w:rsidRPr="003E43AB">
        <w:rPr>
          <w:rFonts w:ascii="Arial" w:hAnsi="Arial" w:cs="Arial"/>
          <w:color w:val="0070C0"/>
          <w:spacing w:val="-2"/>
        </w:rPr>
        <w:t>Technologies</w:t>
      </w:r>
    </w:p>
    <w:p w14:paraId="4043068B" w14:textId="67C1CD7A" w:rsidR="003E43AB" w:rsidRPr="003E43AB" w:rsidRDefault="003E43AB" w:rsidP="002315B8">
      <w:pPr>
        <w:pStyle w:val="ListParagraph"/>
        <w:widowControl w:val="0"/>
        <w:numPr>
          <w:ilvl w:val="0"/>
          <w:numId w:val="5"/>
        </w:numPr>
        <w:tabs>
          <w:tab w:val="left" w:pos="742"/>
        </w:tabs>
        <w:autoSpaceDE w:val="0"/>
        <w:autoSpaceDN w:val="0"/>
        <w:spacing w:before="138" w:after="0" w:line="240" w:lineRule="auto"/>
        <w:contextualSpacing w:val="0"/>
        <w:jc w:val="left"/>
        <w:rPr>
          <w:rFonts w:ascii="Arial" w:hAnsi="Arial" w:cs="Arial"/>
          <w:color w:val="1F3764"/>
          <w:sz w:val="24"/>
        </w:rPr>
      </w:pPr>
      <w:r w:rsidRPr="003E43AB">
        <w:rPr>
          <w:rFonts w:ascii="Arial" w:hAnsi="Arial" w:cs="Arial"/>
          <w:b/>
          <w:color w:val="1F3764"/>
          <w:sz w:val="24"/>
        </w:rPr>
        <w:t xml:space="preserve">Excel: </w:t>
      </w:r>
      <w:r w:rsidRPr="003E43AB">
        <w:rPr>
          <w:rFonts w:ascii="Arial" w:hAnsi="Arial" w:cs="Arial"/>
          <w:color w:val="1F3764"/>
          <w:sz w:val="24"/>
        </w:rPr>
        <w:t xml:space="preserve">Data cleaning, transformation, </w:t>
      </w:r>
      <w:r w:rsidR="000F5DC2">
        <w:rPr>
          <w:rFonts w:ascii="Arial" w:hAnsi="Arial" w:cs="Arial"/>
          <w:color w:val="1F3764"/>
          <w:sz w:val="24"/>
        </w:rPr>
        <w:t xml:space="preserve">scenarios </w:t>
      </w:r>
      <w:r w:rsidRPr="003E43AB">
        <w:rPr>
          <w:rFonts w:ascii="Arial" w:hAnsi="Arial" w:cs="Arial"/>
          <w:color w:val="1F3764"/>
          <w:sz w:val="24"/>
        </w:rPr>
        <w:t xml:space="preserve">and Pivot </w:t>
      </w:r>
      <w:r w:rsidRPr="003E43AB">
        <w:rPr>
          <w:rFonts w:ascii="Arial" w:hAnsi="Arial" w:cs="Arial"/>
          <w:color w:val="1F3764"/>
          <w:spacing w:val="-2"/>
          <w:sz w:val="24"/>
        </w:rPr>
        <w:t>Tables.</w:t>
      </w:r>
    </w:p>
    <w:p w14:paraId="42B60EFF" w14:textId="6FFD1ED1" w:rsidR="00D444E6" w:rsidRDefault="003E43AB" w:rsidP="002315B8">
      <w:pPr>
        <w:pStyle w:val="ListParagraph"/>
        <w:widowControl w:val="0"/>
        <w:numPr>
          <w:ilvl w:val="0"/>
          <w:numId w:val="5"/>
        </w:numPr>
        <w:tabs>
          <w:tab w:val="left" w:pos="743"/>
        </w:tabs>
        <w:autoSpaceDE w:val="0"/>
        <w:autoSpaceDN w:val="0"/>
        <w:spacing w:before="139" w:after="0" w:line="360" w:lineRule="auto"/>
        <w:ind w:right="41"/>
        <w:contextualSpacing w:val="0"/>
        <w:jc w:val="left"/>
        <w:rPr>
          <w:rFonts w:ascii="Arial" w:hAnsi="Arial" w:cs="Arial"/>
          <w:color w:val="1F3764"/>
          <w:sz w:val="24"/>
        </w:rPr>
      </w:pPr>
      <w:r w:rsidRPr="003E43AB">
        <w:rPr>
          <w:rFonts w:ascii="Arial" w:hAnsi="Arial" w:cs="Arial"/>
          <w:b/>
          <w:color w:val="1F3764"/>
          <w:sz w:val="24"/>
        </w:rPr>
        <w:t>Power</w:t>
      </w:r>
      <w:r w:rsidRPr="003E43AB">
        <w:rPr>
          <w:rFonts w:ascii="Arial" w:hAnsi="Arial" w:cs="Arial"/>
          <w:b/>
          <w:color w:val="1F3764"/>
          <w:spacing w:val="80"/>
          <w:w w:val="150"/>
          <w:sz w:val="24"/>
        </w:rPr>
        <w:t xml:space="preserve"> </w:t>
      </w:r>
      <w:r w:rsidRPr="003E43AB">
        <w:rPr>
          <w:rFonts w:ascii="Arial" w:hAnsi="Arial" w:cs="Arial"/>
          <w:b/>
          <w:color w:val="1F3764"/>
          <w:sz w:val="24"/>
        </w:rPr>
        <w:t>BI:</w:t>
      </w:r>
      <w:r w:rsidRPr="003E43AB">
        <w:rPr>
          <w:rFonts w:ascii="Arial" w:hAnsi="Arial" w:cs="Arial"/>
          <w:b/>
          <w:color w:val="1F3764"/>
          <w:spacing w:val="80"/>
          <w:sz w:val="24"/>
        </w:rPr>
        <w:t xml:space="preserve"> </w:t>
      </w:r>
      <w:r w:rsidRPr="003E43AB">
        <w:rPr>
          <w:rFonts w:ascii="Arial" w:hAnsi="Arial" w:cs="Arial"/>
          <w:color w:val="1F3764"/>
          <w:sz w:val="24"/>
        </w:rPr>
        <w:t>Data</w:t>
      </w:r>
      <w:r w:rsidRPr="003E43AB">
        <w:rPr>
          <w:rFonts w:ascii="Arial" w:hAnsi="Arial" w:cs="Arial"/>
          <w:color w:val="1F3764"/>
          <w:spacing w:val="80"/>
          <w:sz w:val="24"/>
        </w:rPr>
        <w:t xml:space="preserve"> </w:t>
      </w:r>
      <w:r w:rsidRPr="003E43AB">
        <w:rPr>
          <w:rFonts w:ascii="Arial" w:hAnsi="Arial" w:cs="Arial"/>
          <w:color w:val="1F3764"/>
          <w:sz w:val="24"/>
        </w:rPr>
        <w:t>modelling,</w:t>
      </w:r>
      <w:r w:rsidRPr="003E43AB">
        <w:rPr>
          <w:rFonts w:ascii="Arial" w:hAnsi="Arial" w:cs="Arial"/>
          <w:color w:val="1F3764"/>
          <w:spacing w:val="80"/>
          <w:sz w:val="24"/>
        </w:rPr>
        <w:t xml:space="preserve"> </w:t>
      </w:r>
      <w:r w:rsidRPr="003E43AB">
        <w:rPr>
          <w:rFonts w:ascii="Arial" w:hAnsi="Arial" w:cs="Arial"/>
          <w:color w:val="1F3764"/>
          <w:sz w:val="24"/>
        </w:rPr>
        <w:t>DAX</w:t>
      </w:r>
      <w:r w:rsidRPr="003E43AB">
        <w:rPr>
          <w:rFonts w:ascii="Arial" w:hAnsi="Arial" w:cs="Arial"/>
          <w:color w:val="1F3764"/>
          <w:spacing w:val="80"/>
          <w:sz w:val="24"/>
        </w:rPr>
        <w:t xml:space="preserve"> </w:t>
      </w:r>
      <w:r w:rsidRPr="003E43AB">
        <w:rPr>
          <w:rFonts w:ascii="Arial" w:hAnsi="Arial" w:cs="Arial"/>
          <w:color w:val="1F3764"/>
          <w:sz w:val="24"/>
        </w:rPr>
        <w:t>calculations,</w:t>
      </w:r>
      <w:r w:rsidRPr="003E43AB">
        <w:rPr>
          <w:rFonts w:ascii="Arial" w:hAnsi="Arial" w:cs="Arial"/>
          <w:color w:val="1F3764"/>
          <w:spacing w:val="80"/>
          <w:sz w:val="24"/>
        </w:rPr>
        <w:t xml:space="preserve"> </w:t>
      </w:r>
      <w:r w:rsidRPr="003E43AB">
        <w:rPr>
          <w:rFonts w:ascii="Arial" w:hAnsi="Arial" w:cs="Arial"/>
          <w:color w:val="1F3764"/>
          <w:sz w:val="24"/>
        </w:rPr>
        <w:t>visualization,</w:t>
      </w:r>
      <w:r w:rsidRPr="003E43AB">
        <w:rPr>
          <w:rFonts w:ascii="Arial" w:hAnsi="Arial" w:cs="Arial"/>
          <w:color w:val="1F3764"/>
          <w:spacing w:val="80"/>
          <w:sz w:val="24"/>
        </w:rPr>
        <w:t xml:space="preserve"> </w:t>
      </w:r>
      <w:r w:rsidRPr="003E43AB">
        <w:rPr>
          <w:rFonts w:ascii="Arial" w:hAnsi="Arial" w:cs="Arial"/>
          <w:color w:val="1F3764"/>
          <w:sz w:val="24"/>
        </w:rPr>
        <w:t>and</w:t>
      </w:r>
      <w:r w:rsidRPr="003E43AB">
        <w:rPr>
          <w:rFonts w:ascii="Arial" w:hAnsi="Arial" w:cs="Arial"/>
          <w:color w:val="1F3764"/>
          <w:spacing w:val="80"/>
          <w:sz w:val="24"/>
        </w:rPr>
        <w:t xml:space="preserve"> </w:t>
      </w:r>
      <w:r w:rsidRPr="003E43AB">
        <w:rPr>
          <w:rFonts w:ascii="Arial" w:hAnsi="Arial" w:cs="Arial"/>
          <w:color w:val="1F3764"/>
          <w:sz w:val="24"/>
        </w:rPr>
        <w:t>interactive</w:t>
      </w:r>
      <w:r w:rsidRPr="003E43AB">
        <w:rPr>
          <w:rFonts w:ascii="Arial" w:hAnsi="Arial" w:cs="Arial"/>
          <w:color w:val="1F3764"/>
          <w:spacing w:val="80"/>
          <w:sz w:val="24"/>
        </w:rPr>
        <w:t xml:space="preserve"> </w:t>
      </w:r>
      <w:r w:rsidRPr="003E43AB">
        <w:rPr>
          <w:rFonts w:ascii="Arial" w:hAnsi="Arial" w:cs="Arial"/>
          <w:color w:val="1F3764"/>
          <w:sz w:val="24"/>
        </w:rPr>
        <w:t>dashboard creation.</w:t>
      </w:r>
    </w:p>
    <w:p w14:paraId="1716652D" w14:textId="7570D27E" w:rsidR="008F08B9" w:rsidRPr="00A6415C" w:rsidRDefault="008F08B9" w:rsidP="008F08B9">
      <w:pPr>
        <w:pStyle w:val="Heading2"/>
        <w:tabs>
          <w:tab w:val="left" w:pos="263"/>
        </w:tabs>
        <w:spacing w:before="217"/>
        <w:rPr>
          <w:rFonts w:ascii="Arial" w:hAnsi="Arial" w:cs="Arial"/>
          <w:color w:val="0070C0"/>
        </w:rPr>
      </w:pPr>
      <w:r w:rsidRPr="00A6415C">
        <w:rPr>
          <w:rFonts w:ascii="Arial" w:hAnsi="Arial" w:cs="Arial"/>
          <w:color w:val="0070C0"/>
        </w:rPr>
        <w:lastRenderedPageBreak/>
        <w:t>6. Data Pre-Processing</w:t>
      </w:r>
    </w:p>
    <w:p w14:paraId="657C4E39" w14:textId="656CD1F1" w:rsidR="008F08B9" w:rsidRPr="00A6415C" w:rsidRDefault="008F08B9" w:rsidP="008F08B9">
      <w:pPr>
        <w:pStyle w:val="Heading2"/>
        <w:tabs>
          <w:tab w:val="left" w:pos="263"/>
        </w:tabs>
        <w:spacing w:before="0" w:line="360" w:lineRule="auto"/>
        <w:ind w:left="283"/>
        <w:rPr>
          <w:rFonts w:ascii="Arial" w:hAnsi="Arial" w:cs="Arial"/>
          <w:color w:val="0070C0"/>
          <w:sz w:val="24"/>
          <w:szCs w:val="24"/>
        </w:rPr>
      </w:pPr>
      <w:r w:rsidRPr="00A6415C">
        <w:rPr>
          <w:rFonts w:ascii="Arial" w:hAnsi="Arial" w:cs="Arial"/>
          <w:color w:val="0070C0"/>
          <w:sz w:val="24"/>
          <w:szCs w:val="24"/>
        </w:rPr>
        <w:t>6.</w:t>
      </w:r>
      <w:r w:rsidR="00663B40" w:rsidRPr="00A6415C">
        <w:rPr>
          <w:rFonts w:ascii="Arial" w:hAnsi="Arial" w:cs="Arial"/>
          <w:color w:val="0070C0"/>
          <w:sz w:val="24"/>
          <w:szCs w:val="24"/>
        </w:rPr>
        <w:t>1. Data Cleaning</w:t>
      </w:r>
      <w:r w:rsidR="002E6E39">
        <w:rPr>
          <w:rFonts w:ascii="Arial" w:hAnsi="Arial" w:cs="Arial"/>
          <w:color w:val="0070C0"/>
          <w:sz w:val="24"/>
          <w:szCs w:val="24"/>
        </w:rPr>
        <w:t xml:space="preserve"> and </w:t>
      </w:r>
      <w:r w:rsidR="002E6E39" w:rsidRPr="00A6415C">
        <w:rPr>
          <w:rFonts w:ascii="Arial" w:hAnsi="Arial" w:cs="Arial"/>
          <w:color w:val="0070C0"/>
          <w:sz w:val="24"/>
          <w:szCs w:val="24"/>
        </w:rPr>
        <w:t>Da</w:t>
      </w:r>
      <w:r w:rsidR="002E6E39">
        <w:rPr>
          <w:rFonts w:ascii="Arial" w:hAnsi="Arial" w:cs="Arial"/>
          <w:color w:val="0070C0"/>
          <w:sz w:val="24"/>
          <w:szCs w:val="24"/>
        </w:rPr>
        <w:t>ta Transformation</w:t>
      </w:r>
    </w:p>
    <w:p w14:paraId="590345FC" w14:textId="20B85D89" w:rsidR="00663B40" w:rsidRPr="00300617" w:rsidRDefault="00A6415C" w:rsidP="002315B8">
      <w:pPr>
        <w:pStyle w:val="ListParagraph"/>
        <w:numPr>
          <w:ilvl w:val="0"/>
          <w:numId w:val="10"/>
        </w:numPr>
        <w:rPr>
          <w:rFonts w:ascii="Arial" w:hAnsi="Arial" w:cs="Arial"/>
          <w:sz w:val="24"/>
          <w:szCs w:val="24"/>
        </w:rPr>
      </w:pPr>
      <w:r w:rsidRPr="00300617">
        <w:rPr>
          <w:rFonts w:ascii="Arial" w:hAnsi="Arial" w:cs="Arial"/>
          <w:sz w:val="24"/>
          <w:szCs w:val="24"/>
        </w:rPr>
        <w:t xml:space="preserve">The dataset </w:t>
      </w:r>
      <w:r w:rsidR="00CD4965" w:rsidRPr="00300617">
        <w:rPr>
          <w:rFonts w:ascii="Arial" w:hAnsi="Arial" w:cs="Arial"/>
          <w:sz w:val="24"/>
          <w:szCs w:val="24"/>
        </w:rPr>
        <w:t xml:space="preserve">has 10 Lakh plus records from the year </w:t>
      </w:r>
      <w:r w:rsidR="00D036FA" w:rsidRPr="00300617">
        <w:rPr>
          <w:rFonts w:ascii="Arial" w:hAnsi="Arial" w:cs="Arial"/>
          <w:sz w:val="24"/>
          <w:szCs w:val="24"/>
        </w:rPr>
        <w:t xml:space="preserve">2013 to 2025, </w:t>
      </w:r>
      <w:r w:rsidR="003C4324" w:rsidRPr="00300617">
        <w:rPr>
          <w:rFonts w:ascii="Arial" w:hAnsi="Arial" w:cs="Arial"/>
          <w:sz w:val="24"/>
          <w:szCs w:val="24"/>
        </w:rPr>
        <w:t xml:space="preserve">to ensure consistency, </w:t>
      </w:r>
      <w:r w:rsidR="00357615" w:rsidRPr="00300617">
        <w:rPr>
          <w:rFonts w:ascii="Arial" w:hAnsi="Arial" w:cs="Arial"/>
          <w:sz w:val="24"/>
          <w:szCs w:val="24"/>
        </w:rPr>
        <w:t>2024- and 2025-year</w:t>
      </w:r>
      <w:r w:rsidR="003C4324" w:rsidRPr="00300617">
        <w:rPr>
          <w:rFonts w:ascii="Arial" w:hAnsi="Arial" w:cs="Arial"/>
          <w:sz w:val="24"/>
          <w:szCs w:val="24"/>
        </w:rPr>
        <w:t xml:space="preserve"> </w:t>
      </w:r>
      <w:r w:rsidR="00357615" w:rsidRPr="00300617">
        <w:rPr>
          <w:rFonts w:ascii="Arial" w:hAnsi="Arial" w:cs="Arial"/>
          <w:sz w:val="24"/>
          <w:szCs w:val="24"/>
        </w:rPr>
        <w:t>data only considered for analysis.</w:t>
      </w:r>
    </w:p>
    <w:p w14:paraId="3A1043E4" w14:textId="4D46D5C3" w:rsidR="00357615" w:rsidRPr="00300617" w:rsidRDefault="002606EA" w:rsidP="002315B8">
      <w:pPr>
        <w:pStyle w:val="ListParagraph"/>
        <w:numPr>
          <w:ilvl w:val="0"/>
          <w:numId w:val="10"/>
        </w:numPr>
        <w:rPr>
          <w:rFonts w:ascii="Arial" w:hAnsi="Arial" w:cs="Arial"/>
          <w:sz w:val="24"/>
          <w:szCs w:val="24"/>
        </w:rPr>
      </w:pPr>
      <w:r w:rsidRPr="00300617">
        <w:rPr>
          <w:rFonts w:ascii="Arial" w:hAnsi="Arial" w:cs="Arial"/>
          <w:sz w:val="24"/>
          <w:szCs w:val="24"/>
        </w:rPr>
        <w:t>The refined dataset consists of 3</w:t>
      </w:r>
      <w:r w:rsidR="000F147D" w:rsidRPr="00300617">
        <w:rPr>
          <w:rFonts w:ascii="Arial" w:hAnsi="Arial" w:cs="Arial"/>
          <w:sz w:val="24"/>
          <w:szCs w:val="24"/>
        </w:rPr>
        <w:t>48786 records.</w:t>
      </w:r>
    </w:p>
    <w:p w14:paraId="758477D8" w14:textId="19B5393D" w:rsidR="00B119F0" w:rsidRPr="00300617" w:rsidRDefault="003D1B85" w:rsidP="002315B8">
      <w:pPr>
        <w:pStyle w:val="ListParagraph"/>
        <w:numPr>
          <w:ilvl w:val="0"/>
          <w:numId w:val="10"/>
        </w:numPr>
        <w:rPr>
          <w:rFonts w:ascii="Arial" w:hAnsi="Arial" w:cs="Arial"/>
          <w:sz w:val="24"/>
          <w:szCs w:val="24"/>
        </w:rPr>
      </w:pPr>
      <w:r w:rsidRPr="00300617">
        <w:rPr>
          <w:rFonts w:ascii="Arial" w:hAnsi="Arial" w:cs="Arial"/>
          <w:sz w:val="24"/>
          <w:szCs w:val="24"/>
        </w:rPr>
        <w:t xml:space="preserve">The Credit_ID </w:t>
      </w:r>
      <w:r w:rsidR="00225174">
        <w:rPr>
          <w:rFonts w:ascii="Arial" w:hAnsi="Arial" w:cs="Arial"/>
          <w:sz w:val="24"/>
          <w:szCs w:val="24"/>
        </w:rPr>
        <w:t xml:space="preserve">Categorial </w:t>
      </w:r>
      <w:r w:rsidRPr="00300617">
        <w:rPr>
          <w:rFonts w:ascii="Arial" w:hAnsi="Arial" w:cs="Arial"/>
          <w:sz w:val="24"/>
          <w:szCs w:val="24"/>
        </w:rPr>
        <w:t>column was added for readability.</w:t>
      </w:r>
    </w:p>
    <w:p w14:paraId="6179AEC5" w14:textId="77777777" w:rsidR="008F5054" w:rsidRDefault="00BA0511" w:rsidP="002315B8">
      <w:pPr>
        <w:pStyle w:val="ListParagraph"/>
        <w:numPr>
          <w:ilvl w:val="0"/>
          <w:numId w:val="10"/>
        </w:numPr>
        <w:rPr>
          <w:rFonts w:ascii="Arial" w:hAnsi="Arial" w:cs="Arial"/>
          <w:sz w:val="24"/>
          <w:szCs w:val="24"/>
        </w:rPr>
      </w:pPr>
      <w:r w:rsidRPr="00300617">
        <w:rPr>
          <w:rFonts w:ascii="Arial" w:hAnsi="Arial" w:cs="Arial"/>
          <w:sz w:val="24"/>
          <w:szCs w:val="24"/>
        </w:rPr>
        <w:t>All categorial c</w:t>
      </w:r>
      <w:r w:rsidR="00032038" w:rsidRPr="00300617">
        <w:rPr>
          <w:rFonts w:ascii="Arial" w:hAnsi="Arial" w:cs="Arial"/>
          <w:sz w:val="24"/>
          <w:szCs w:val="24"/>
        </w:rPr>
        <w:t>o</w:t>
      </w:r>
      <w:r w:rsidRPr="00300617">
        <w:rPr>
          <w:rFonts w:ascii="Arial" w:hAnsi="Arial" w:cs="Arial"/>
          <w:sz w:val="24"/>
          <w:szCs w:val="24"/>
        </w:rPr>
        <w:t xml:space="preserve">lumns are </w:t>
      </w:r>
      <w:r w:rsidR="00E0624C" w:rsidRPr="00300617">
        <w:rPr>
          <w:rFonts w:ascii="Arial" w:hAnsi="Arial" w:cs="Arial"/>
          <w:sz w:val="24"/>
          <w:szCs w:val="24"/>
        </w:rPr>
        <w:t xml:space="preserve">cleaned and trimmed. </w:t>
      </w:r>
    </w:p>
    <w:p w14:paraId="391B5B32" w14:textId="5E7C4BED" w:rsidR="00032038" w:rsidRDefault="00E0624C" w:rsidP="002315B8">
      <w:pPr>
        <w:pStyle w:val="ListParagraph"/>
        <w:numPr>
          <w:ilvl w:val="0"/>
          <w:numId w:val="10"/>
        </w:numPr>
        <w:rPr>
          <w:rFonts w:ascii="Arial" w:hAnsi="Arial" w:cs="Arial"/>
          <w:sz w:val="24"/>
          <w:szCs w:val="24"/>
        </w:rPr>
      </w:pPr>
      <w:r w:rsidRPr="00300617">
        <w:rPr>
          <w:rFonts w:ascii="Arial" w:hAnsi="Arial" w:cs="Arial"/>
          <w:sz w:val="24"/>
          <w:szCs w:val="24"/>
        </w:rPr>
        <w:t xml:space="preserve">All columns are assigned with </w:t>
      </w:r>
      <w:r w:rsidR="00032038" w:rsidRPr="00300617">
        <w:rPr>
          <w:rFonts w:ascii="Arial" w:hAnsi="Arial" w:cs="Arial"/>
          <w:sz w:val="24"/>
          <w:szCs w:val="24"/>
        </w:rPr>
        <w:t>appropriate datatypes.</w:t>
      </w:r>
    </w:p>
    <w:p w14:paraId="73B46749" w14:textId="09D012D5" w:rsidR="008F5054" w:rsidRPr="00300617" w:rsidRDefault="00B72756" w:rsidP="002315B8">
      <w:pPr>
        <w:pStyle w:val="ListParagraph"/>
        <w:numPr>
          <w:ilvl w:val="0"/>
          <w:numId w:val="10"/>
        </w:numPr>
        <w:rPr>
          <w:rFonts w:ascii="Arial" w:hAnsi="Arial" w:cs="Arial"/>
          <w:sz w:val="24"/>
          <w:szCs w:val="24"/>
        </w:rPr>
      </w:pPr>
      <w:r>
        <w:rPr>
          <w:rFonts w:ascii="Arial" w:hAnsi="Arial" w:cs="Arial"/>
          <w:sz w:val="24"/>
          <w:szCs w:val="24"/>
        </w:rPr>
        <w:t>Validated for the null and blank values. Removed duplicates.</w:t>
      </w:r>
    </w:p>
    <w:p w14:paraId="5B2F0814" w14:textId="29B72DF6" w:rsidR="00F01A2C" w:rsidRPr="00300617" w:rsidRDefault="00F01A2C" w:rsidP="002315B8">
      <w:pPr>
        <w:pStyle w:val="ListParagraph"/>
        <w:numPr>
          <w:ilvl w:val="0"/>
          <w:numId w:val="10"/>
        </w:numPr>
        <w:rPr>
          <w:rFonts w:ascii="Arial" w:hAnsi="Arial" w:cs="Arial"/>
          <w:sz w:val="24"/>
          <w:szCs w:val="24"/>
        </w:rPr>
      </w:pPr>
      <w:r w:rsidRPr="00300617">
        <w:rPr>
          <w:rFonts w:ascii="Arial" w:hAnsi="Arial" w:cs="Arial"/>
          <w:sz w:val="24"/>
          <w:szCs w:val="24"/>
        </w:rPr>
        <w:t>Excel Functions used:</w:t>
      </w:r>
    </w:p>
    <w:p w14:paraId="67D15631" w14:textId="29588088" w:rsidR="0091390A" w:rsidRPr="002E6E39" w:rsidRDefault="002338A7" w:rsidP="002315B8">
      <w:pPr>
        <w:pStyle w:val="ListParagraph"/>
        <w:numPr>
          <w:ilvl w:val="1"/>
          <w:numId w:val="14"/>
        </w:numPr>
        <w:rPr>
          <w:rFonts w:ascii="Arial" w:hAnsi="Arial" w:cs="Arial"/>
          <w:sz w:val="24"/>
          <w:szCs w:val="24"/>
        </w:rPr>
      </w:pPr>
      <w:r w:rsidRPr="00300617">
        <w:rPr>
          <w:rFonts w:ascii="Arial" w:hAnsi="Arial" w:cs="Arial"/>
          <w:sz w:val="24"/>
          <w:szCs w:val="24"/>
        </w:rPr>
        <w:t>Clean, Trim</w:t>
      </w:r>
      <w:r w:rsidR="00F01A2C" w:rsidRPr="00300617">
        <w:rPr>
          <w:rFonts w:ascii="Arial" w:hAnsi="Arial" w:cs="Arial"/>
          <w:sz w:val="24"/>
          <w:szCs w:val="24"/>
        </w:rPr>
        <w:t xml:space="preserve"> and Proper</w:t>
      </w:r>
      <w:r w:rsidR="0091390A" w:rsidRPr="00300617">
        <w:rPr>
          <w:rFonts w:ascii="Arial" w:hAnsi="Arial" w:cs="Arial"/>
          <w:sz w:val="24"/>
          <w:szCs w:val="24"/>
        </w:rPr>
        <w:t>.</w:t>
      </w:r>
    </w:p>
    <w:p w14:paraId="78D38EF1" w14:textId="36D8040E" w:rsidR="00527128" w:rsidRDefault="00692033" w:rsidP="002315B8">
      <w:pPr>
        <w:pStyle w:val="ListParagraph"/>
        <w:numPr>
          <w:ilvl w:val="0"/>
          <w:numId w:val="11"/>
        </w:numPr>
        <w:rPr>
          <w:rFonts w:ascii="Arial" w:hAnsi="Arial" w:cs="Arial"/>
          <w:sz w:val="24"/>
          <w:szCs w:val="24"/>
        </w:rPr>
      </w:pPr>
      <w:r>
        <w:rPr>
          <w:rFonts w:ascii="Arial" w:hAnsi="Arial" w:cs="Arial"/>
          <w:sz w:val="24"/>
          <w:szCs w:val="24"/>
        </w:rPr>
        <w:t>Calculated columns UtilizationRate is added for structured analysis.</w:t>
      </w:r>
    </w:p>
    <w:p w14:paraId="25850F2B" w14:textId="190F7C33" w:rsidR="0039207E" w:rsidRDefault="009F3026" w:rsidP="002315B8">
      <w:pPr>
        <w:pStyle w:val="ListParagraph"/>
        <w:numPr>
          <w:ilvl w:val="1"/>
          <w:numId w:val="13"/>
        </w:numPr>
        <w:rPr>
          <w:rFonts w:ascii="Arial" w:hAnsi="Arial" w:cs="Arial"/>
          <w:b/>
          <w:i/>
          <w:sz w:val="24"/>
          <w:szCs w:val="24"/>
        </w:rPr>
      </w:pPr>
      <w:r w:rsidRPr="00A15197">
        <w:rPr>
          <w:rFonts w:ascii="Arial" w:hAnsi="Arial" w:cs="Arial"/>
          <w:b/>
          <w:i/>
          <w:sz w:val="24"/>
          <w:szCs w:val="24"/>
        </w:rPr>
        <w:t xml:space="preserve">UtilizationRate= </w:t>
      </w:r>
      <w:r w:rsidR="00F573C7" w:rsidRPr="00A15197">
        <w:rPr>
          <w:rFonts w:ascii="Arial" w:hAnsi="Arial" w:cs="Arial"/>
          <w:b/>
          <w:i/>
          <w:sz w:val="24"/>
          <w:szCs w:val="24"/>
        </w:rPr>
        <w:t>OutStanding/Credit</w:t>
      </w:r>
      <w:r w:rsidR="00A15197" w:rsidRPr="00A15197">
        <w:rPr>
          <w:rFonts w:ascii="Arial" w:hAnsi="Arial" w:cs="Arial"/>
          <w:b/>
          <w:i/>
          <w:sz w:val="24"/>
          <w:szCs w:val="24"/>
        </w:rPr>
        <w:t>Limit</w:t>
      </w:r>
    </w:p>
    <w:p w14:paraId="777BC00A" w14:textId="77777777" w:rsidR="009037AC" w:rsidRPr="00A15197" w:rsidRDefault="009037AC" w:rsidP="009037AC">
      <w:pPr>
        <w:pStyle w:val="ListParagraph"/>
        <w:ind w:left="1440"/>
        <w:rPr>
          <w:rFonts w:ascii="Arial" w:hAnsi="Arial" w:cs="Arial"/>
          <w:b/>
          <w:i/>
          <w:sz w:val="24"/>
          <w:szCs w:val="24"/>
        </w:rPr>
      </w:pPr>
    </w:p>
    <w:p w14:paraId="4D5AFB6D" w14:textId="4A177F96" w:rsidR="00773C29" w:rsidRPr="00773C29" w:rsidRDefault="00773C29" w:rsidP="002315B8">
      <w:pPr>
        <w:pStyle w:val="ListParagraph"/>
        <w:numPr>
          <w:ilvl w:val="1"/>
          <w:numId w:val="13"/>
        </w:numPr>
        <w:spacing w:after="0" w:line="240" w:lineRule="auto"/>
        <w:rPr>
          <w:rFonts w:ascii="Arial" w:eastAsia="Times New Roman" w:hAnsi="Arial" w:cs="Arial"/>
          <w:sz w:val="24"/>
          <w:szCs w:val="24"/>
          <w:lang w:eastAsia="en-GB"/>
        </w:rPr>
      </w:pPr>
      <w:r w:rsidRPr="00773C29">
        <w:rPr>
          <w:rFonts w:ascii="Arial" w:eastAsia="Times New Roman" w:hAnsi="Arial" w:cs="Arial"/>
          <w:b/>
          <w:bCs/>
          <w:sz w:val="24"/>
          <w:szCs w:val="24"/>
          <w:lang w:eastAsia="en-GB"/>
        </w:rPr>
        <w:t>Outstanding</w:t>
      </w:r>
      <w:r w:rsidRPr="00773C29">
        <w:rPr>
          <w:rFonts w:ascii="Arial" w:eastAsia="Times New Roman" w:hAnsi="Arial" w:cs="Arial"/>
          <w:sz w:val="24"/>
          <w:szCs w:val="24"/>
          <w:lang w:eastAsia="en-GB"/>
        </w:rPr>
        <w:t xml:space="preserve"> → the current balance or exposure.</w:t>
      </w:r>
    </w:p>
    <w:p w14:paraId="366C6721" w14:textId="77777777" w:rsidR="00773C29" w:rsidRPr="00773C29" w:rsidRDefault="00773C29" w:rsidP="002315B8">
      <w:pPr>
        <w:numPr>
          <w:ilvl w:val="1"/>
          <w:numId w:val="13"/>
        </w:numPr>
        <w:spacing w:before="100" w:beforeAutospacing="1" w:after="100" w:afterAutospacing="1" w:line="240" w:lineRule="auto"/>
        <w:rPr>
          <w:rFonts w:ascii="Arial" w:eastAsia="Times New Roman" w:hAnsi="Arial" w:cs="Arial"/>
          <w:sz w:val="24"/>
          <w:szCs w:val="24"/>
          <w:lang w:eastAsia="en-GB"/>
        </w:rPr>
      </w:pPr>
      <w:r w:rsidRPr="00773C29">
        <w:rPr>
          <w:rFonts w:ascii="Arial" w:eastAsia="Times New Roman" w:hAnsi="Arial" w:cs="Arial"/>
          <w:b/>
          <w:bCs/>
          <w:sz w:val="24"/>
          <w:szCs w:val="24"/>
          <w:lang w:eastAsia="en-GB"/>
        </w:rPr>
        <w:t>CreditLimit</w:t>
      </w:r>
      <w:r w:rsidRPr="00773C29">
        <w:rPr>
          <w:rFonts w:ascii="Arial" w:eastAsia="Times New Roman" w:hAnsi="Arial" w:cs="Arial"/>
          <w:sz w:val="24"/>
          <w:szCs w:val="24"/>
          <w:lang w:eastAsia="en-GB"/>
        </w:rPr>
        <w:t xml:space="preserve"> → the maximum sanctioned credit for that account.</w:t>
      </w:r>
    </w:p>
    <w:p w14:paraId="77BD315B" w14:textId="77777777" w:rsidR="00773C29" w:rsidRPr="00773C29" w:rsidRDefault="00773C29" w:rsidP="002315B8">
      <w:pPr>
        <w:numPr>
          <w:ilvl w:val="1"/>
          <w:numId w:val="13"/>
        </w:numPr>
        <w:spacing w:before="100" w:beforeAutospacing="1" w:after="100" w:afterAutospacing="1" w:line="240" w:lineRule="auto"/>
        <w:rPr>
          <w:rFonts w:ascii="Arial" w:eastAsia="Times New Roman" w:hAnsi="Arial" w:cs="Arial"/>
          <w:sz w:val="24"/>
          <w:szCs w:val="24"/>
          <w:lang w:eastAsia="en-GB"/>
        </w:rPr>
      </w:pPr>
      <w:r w:rsidRPr="00773C29">
        <w:rPr>
          <w:rFonts w:ascii="Arial" w:eastAsia="Times New Roman" w:hAnsi="Arial" w:cs="Arial"/>
          <w:b/>
          <w:bCs/>
          <w:sz w:val="24"/>
          <w:szCs w:val="24"/>
          <w:lang w:eastAsia="en-GB"/>
        </w:rPr>
        <w:t>UtilizationRate</w:t>
      </w:r>
      <w:r w:rsidRPr="00773C29">
        <w:rPr>
          <w:rFonts w:ascii="Arial" w:eastAsia="Times New Roman" w:hAnsi="Arial" w:cs="Arial"/>
          <w:sz w:val="24"/>
          <w:szCs w:val="24"/>
          <w:lang w:eastAsia="en-GB"/>
        </w:rPr>
        <w:t xml:space="preserve"> → shows how much of the available credit is being used.</w:t>
      </w:r>
    </w:p>
    <w:p w14:paraId="0B30B11F" w14:textId="253935D2" w:rsidR="008F08B9" w:rsidRPr="00A6415C" w:rsidRDefault="008F08B9" w:rsidP="008F08B9">
      <w:pPr>
        <w:rPr>
          <w:rFonts w:ascii="Arial" w:hAnsi="Arial" w:cs="Arial"/>
        </w:rPr>
      </w:pPr>
    </w:p>
    <w:p w14:paraId="1B9030B6" w14:textId="5D438101" w:rsidR="008F08B9" w:rsidRDefault="008F08B9" w:rsidP="008F08B9">
      <w:pPr>
        <w:pStyle w:val="Heading2"/>
        <w:tabs>
          <w:tab w:val="left" w:pos="263"/>
        </w:tabs>
        <w:spacing w:before="217"/>
        <w:rPr>
          <w:rFonts w:ascii="Arial" w:hAnsi="Arial" w:cs="Arial"/>
          <w:color w:val="0070C0"/>
        </w:rPr>
      </w:pPr>
      <w:r w:rsidRPr="00A6415C">
        <w:rPr>
          <w:rFonts w:ascii="Arial" w:hAnsi="Arial" w:cs="Arial"/>
          <w:color w:val="0070C0"/>
        </w:rPr>
        <w:t>7. Data Modelling and DAX</w:t>
      </w:r>
    </w:p>
    <w:p w14:paraId="685641E3" w14:textId="1EDB17DC" w:rsidR="00A9619C" w:rsidRPr="00851FE7" w:rsidRDefault="00A9619C" w:rsidP="00A9619C">
      <w:pPr>
        <w:pStyle w:val="Heading2"/>
        <w:tabs>
          <w:tab w:val="left" w:pos="263"/>
        </w:tabs>
        <w:spacing w:before="217"/>
        <w:rPr>
          <w:rFonts w:ascii="Arial" w:hAnsi="Arial" w:cs="Arial"/>
          <w:color w:val="0070C0"/>
          <w:sz w:val="24"/>
          <w:szCs w:val="24"/>
        </w:rPr>
      </w:pPr>
      <w:r>
        <w:rPr>
          <w:rFonts w:ascii="Arial" w:hAnsi="Arial" w:cs="Arial"/>
          <w:color w:val="0070C0"/>
          <w:sz w:val="24"/>
          <w:szCs w:val="24"/>
        </w:rPr>
        <w:t>7.2. DAX</w:t>
      </w:r>
    </w:p>
    <w:p w14:paraId="72CACFC7" w14:textId="4078A4AC" w:rsidR="000A5621" w:rsidRDefault="000A5621" w:rsidP="000A5621">
      <w:pPr>
        <w:pStyle w:val="ListParagraph"/>
        <w:numPr>
          <w:ilvl w:val="0"/>
          <w:numId w:val="42"/>
        </w:numPr>
        <w:rPr>
          <w:rFonts w:ascii="Arial" w:hAnsi="Arial" w:cs="Arial"/>
          <w:sz w:val="24"/>
          <w:szCs w:val="24"/>
        </w:rPr>
      </w:pPr>
      <w:r>
        <w:rPr>
          <w:rFonts w:ascii="Arial" w:hAnsi="Arial" w:cs="Arial"/>
          <w:sz w:val="24"/>
          <w:szCs w:val="24"/>
        </w:rPr>
        <w:t>Dax measures and calculated columns are created for the analysis as follows:</w:t>
      </w:r>
    </w:p>
    <w:p w14:paraId="40A83A93" w14:textId="724887DB" w:rsidR="000A5621" w:rsidRPr="000A5621" w:rsidRDefault="000A5621" w:rsidP="000A5621">
      <w:pPr>
        <w:pStyle w:val="ListParagraph"/>
        <w:numPr>
          <w:ilvl w:val="0"/>
          <w:numId w:val="42"/>
        </w:numPr>
        <w:rPr>
          <w:rFonts w:ascii="Arial" w:hAnsi="Arial" w:cs="Arial"/>
          <w:b/>
          <w:i/>
          <w:sz w:val="24"/>
          <w:szCs w:val="24"/>
        </w:rPr>
      </w:pPr>
      <w:r w:rsidRPr="000A5621">
        <w:rPr>
          <w:rFonts w:ascii="Arial" w:hAnsi="Arial" w:cs="Arial"/>
          <w:b/>
          <w:i/>
          <w:sz w:val="24"/>
          <w:szCs w:val="24"/>
        </w:rPr>
        <w:t>Measures</w:t>
      </w:r>
    </w:p>
    <w:tbl>
      <w:tblPr>
        <w:tblStyle w:val="TableGrid"/>
        <w:tblW w:w="0" w:type="auto"/>
        <w:tblInd w:w="607" w:type="dxa"/>
        <w:tblLook w:val="04A0" w:firstRow="1" w:lastRow="0" w:firstColumn="1" w:lastColumn="0" w:noHBand="0" w:noVBand="1"/>
      </w:tblPr>
      <w:tblGrid>
        <w:gridCol w:w="2631"/>
        <w:gridCol w:w="5778"/>
      </w:tblGrid>
      <w:tr w:rsidR="000A5621" w14:paraId="4ECA92EB" w14:textId="77777777" w:rsidTr="00046151">
        <w:tc>
          <w:tcPr>
            <w:tcW w:w="2631" w:type="dxa"/>
          </w:tcPr>
          <w:p w14:paraId="309548AE" w14:textId="1E275701" w:rsidR="000A5621" w:rsidRDefault="000A5621" w:rsidP="000A5621">
            <w:pPr>
              <w:rPr>
                <w:rFonts w:ascii="Arial" w:hAnsi="Arial" w:cs="Arial"/>
                <w:sz w:val="24"/>
                <w:szCs w:val="24"/>
              </w:rPr>
            </w:pPr>
            <w:r>
              <w:rPr>
                <w:rFonts w:ascii="Arial" w:hAnsi="Arial" w:cs="Arial"/>
                <w:sz w:val="24"/>
                <w:szCs w:val="24"/>
              </w:rPr>
              <w:t>Total_Credit_Limit</w:t>
            </w:r>
          </w:p>
        </w:tc>
        <w:tc>
          <w:tcPr>
            <w:tcW w:w="5778" w:type="dxa"/>
          </w:tcPr>
          <w:p w14:paraId="6A11FAAC" w14:textId="19DA03AA" w:rsidR="000A5621" w:rsidRDefault="000A5621" w:rsidP="000A5621">
            <w:pPr>
              <w:rPr>
                <w:rFonts w:ascii="Arial" w:hAnsi="Arial" w:cs="Arial"/>
                <w:sz w:val="24"/>
                <w:szCs w:val="24"/>
              </w:rPr>
            </w:pPr>
            <w:r>
              <w:rPr>
                <w:rFonts w:ascii="Arial" w:hAnsi="Arial" w:cs="Arial"/>
                <w:sz w:val="24"/>
                <w:szCs w:val="24"/>
              </w:rPr>
              <w:t>Sum of lending amount over the years</w:t>
            </w:r>
          </w:p>
        </w:tc>
      </w:tr>
      <w:tr w:rsidR="000A5621" w14:paraId="55237970" w14:textId="77777777" w:rsidTr="00046151">
        <w:tc>
          <w:tcPr>
            <w:tcW w:w="2631" w:type="dxa"/>
          </w:tcPr>
          <w:p w14:paraId="78ACB66C" w14:textId="17381E4B" w:rsidR="000A5621" w:rsidRDefault="000A5621" w:rsidP="000A5621">
            <w:pPr>
              <w:rPr>
                <w:rFonts w:ascii="Arial" w:hAnsi="Arial" w:cs="Arial"/>
                <w:sz w:val="24"/>
                <w:szCs w:val="24"/>
              </w:rPr>
            </w:pPr>
            <w:r>
              <w:rPr>
                <w:rFonts w:ascii="Arial" w:hAnsi="Arial" w:cs="Arial"/>
                <w:sz w:val="24"/>
                <w:szCs w:val="24"/>
              </w:rPr>
              <w:t>Total_Outstand</w:t>
            </w:r>
            <w:r w:rsidR="00CF6BC1">
              <w:rPr>
                <w:rFonts w:ascii="Arial" w:hAnsi="Arial" w:cs="Arial"/>
                <w:sz w:val="24"/>
                <w:szCs w:val="24"/>
              </w:rPr>
              <w:t>ing</w:t>
            </w:r>
          </w:p>
        </w:tc>
        <w:tc>
          <w:tcPr>
            <w:tcW w:w="5778" w:type="dxa"/>
          </w:tcPr>
          <w:p w14:paraId="14DF49EB" w14:textId="244EDAC2" w:rsidR="000A5621" w:rsidRDefault="00CF6BC1" w:rsidP="000A5621">
            <w:pPr>
              <w:rPr>
                <w:rFonts w:ascii="Arial" w:hAnsi="Arial" w:cs="Arial"/>
                <w:sz w:val="24"/>
                <w:szCs w:val="24"/>
              </w:rPr>
            </w:pPr>
            <w:r>
              <w:rPr>
                <w:rFonts w:ascii="Arial" w:hAnsi="Arial" w:cs="Arial"/>
                <w:sz w:val="24"/>
                <w:szCs w:val="24"/>
              </w:rPr>
              <w:t>Sum of Outstanding over years</w:t>
            </w:r>
          </w:p>
        </w:tc>
      </w:tr>
      <w:tr w:rsidR="00CF6BC1" w14:paraId="21FF66DC" w14:textId="77777777" w:rsidTr="00046151">
        <w:tc>
          <w:tcPr>
            <w:tcW w:w="2631" w:type="dxa"/>
          </w:tcPr>
          <w:p w14:paraId="1A51C245" w14:textId="0099CC5E" w:rsidR="00CF6BC1" w:rsidRDefault="00046151" w:rsidP="000A5621">
            <w:pPr>
              <w:rPr>
                <w:rFonts w:ascii="Arial" w:hAnsi="Arial" w:cs="Arial"/>
                <w:sz w:val="24"/>
                <w:szCs w:val="24"/>
              </w:rPr>
            </w:pPr>
            <w:r w:rsidRPr="00046151">
              <w:rPr>
                <w:rFonts w:ascii="Arial" w:hAnsi="Arial" w:cs="Arial"/>
                <w:sz w:val="24"/>
                <w:szCs w:val="24"/>
              </w:rPr>
              <w:t>CreditChangeAbsolute</w:t>
            </w:r>
          </w:p>
        </w:tc>
        <w:tc>
          <w:tcPr>
            <w:tcW w:w="5778" w:type="dxa"/>
          </w:tcPr>
          <w:p w14:paraId="4D9681D3" w14:textId="2C56AC23" w:rsidR="00CF6BC1" w:rsidRDefault="00046151" w:rsidP="000A5621">
            <w:pPr>
              <w:rPr>
                <w:rFonts w:ascii="Arial" w:hAnsi="Arial" w:cs="Arial"/>
                <w:sz w:val="24"/>
                <w:szCs w:val="24"/>
              </w:rPr>
            </w:pPr>
            <w:r>
              <w:rPr>
                <w:rFonts w:ascii="Arial" w:hAnsi="Arial" w:cs="Arial"/>
                <w:sz w:val="24"/>
                <w:szCs w:val="24"/>
              </w:rPr>
              <w:t>Difference of credit change over the years 2025 and 2024</w:t>
            </w:r>
          </w:p>
        </w:tc>
      </w:tr>
      <w:tr w:rsidR="00046151" w14:paraId="4D93F843" w14:textId="77777777" w:rsidTr="00046151">
        <w:tc>
          <w:tcPr>
            <w:tcW w:w="2631" w:type="dxa"/>
          </w:tcPr>
          <w:p w14:paraId="4986CF0C" w14:textId="2E531B28" w:rsidR="00046151" w:rsidRPr="00046151" w:rsidRDefault="00046151" w:rsidP="00046151">
            <w:pPr>
              <w:rPr>
                <w:rFonts w:ascii="Arial" w:hAnsi="Arial" w:cs="Arial"/>
                <w:sz w:val="24"/>
                <w:szCs w:val="24"/>
              </w:rPr>
            </w:pPr>
            <w:r>
              <w:rPr>
                <w:rFonts w:ascii="Arial" w:hAnsi="Arial" w:cs="Arial"/>
                <w:sz w:val="24"/>
                <w:szCs w:val="24"/>
              </w:rPr>
              <w:t>CurrentCredit</w:t>
            </w:r>
          </w:p>
        </w:tc>
        <w:tc>
          <w:tcPr>
            <w:tcW w:w="5778" w:type="dxa"/>
          </w:tcPr>
          <w:p w14:paraId="53C1D1A1" w14:textId="7E3D682C" w:rsidR="00046151" w:rsidRDefault="00046151" w:rsidP="00046151">
            <w:pPr>
              <w:rPr>
                <w:rFonts w:ascii="Arial" w:hAnsi="Arial" w:cs="Arial"/>
                <w:sz w:val="24"/>
                <w:szCs w:val="24"/>
              </w:rPr>
            </w:pPr>
            <w:r>
              <w:rPr>
                <w:rFonts w:ascii="Arial" w:hAnsi="Arial" w:cs="Arial"/>
                <w:sz w:val="24"/>
                <w:szCs w:val="24"/>
              </w:rPr>
              <w:t>Total of Credit of year 2025</w:t>
            </w:r>
          </w:p>
        </w:tc>
      </w:tr>
      <w:tr w:rsidR="00046151" w14:paraId="247CC121" w14:textId="77777777" w:rsidTr="00046151">
        <w:tc>
          <w:tcPr>
            <w:tcW w:w="2631" w:type="dxa"/>
          </w:tcPr>
          <w:p w14:paraId="359CCA7A" w14:textId="65928BCF" w:rsidR="00046151" w:rsidRDefault="00046151" w:rsidP="00046151">
            <w:pPr>
              <w:rPr>
                <w:rFonts w:ascii="Arial" w:hAnsi="Arial" w:cs="Arial"/>
                <w:sz w:val="24"/>
                <w:szCs w:val="24"/>
              </w:rPr>
            </w:pPr>
            <w:r>
              <w:rPr>
                <w:rFonts w:ascii="Arial" w:hAnsi="Arial" w:cs="Arial"/>
                <w:sz w:val="24"/>
                <w:szCs w:val="24"/>
              </w:rPr>
              <w:t>PreviousCredit</w:t>
            </w:r>
          </w:p>
        </w:tc>
        <w:tc>
          <w:tcPr>
            <w:tcW w:w="5778" w:type="dxa"/>
          </w:tcPr>
          <w:p w14:paraId="5B1089A1" w14:textId="3B5E25F6" w:rsidR="00046151" w:rsidRDefault="00046151" w:rsidP="00046151">
            <w:pPr>
              <w:rPr>
                <w:rFonts w:ascii="Arial" w:hAnsi="Arial" w:cs="Arial"/>
                <w:sz w:val="24"/>
                <w:szCs w:val="24"/>
              </w:rPr>
            </w:pPr>
            <w:r>
              <w:rPr>
                <w:rFonts w:ascii="Arial" w:hAnsi="Arial" w:cs="Arial"/>
                <w:sz w:val="24"/>
                <w:szCs w:val="24"/>
              </w:rPr>
              <w:t>Total of Credit of year 2024</w:t>
            </w:r>
          </w:p>
        </w:tc>
      </w:tr>
      <w:tr w:rsidR="00046151" w14:paraId="6D43A253" w14:textId="77777777" w:rsidTr="00046151">
        <w:tc>
          <w:tcPr>
            <w:tcW w:w="2631" w:type="dxa"/>
          </w:tcPr>
          <w:p w14:paraId="70AD9466" w14:textId="77777777" w:rsidR="00046151" w:rsidRPr="00046151" w:rsidRDefault="00046151" w:rsidP="00046151">
            <w:pPr>
              <w:rPr>
                <w:rFonts w:ascii="Arial" w:hAnsi="Arial" w:cs="Arial"/>
                <w:sz w:val="24"/>
                <w:szCs w:val="24"/>
              </w:rPr>
            </w:pPr>
            <w:r w:rsidRPr="00046151">
              <w:rPr>
                <w:rFonts w:ascii="Arial" w:hAnsi="Arial" w:cs="Arial"/>
                <w:sz w:val="24"/>
                <w:szCs w:val="24"/>
              </w:rPr>
              <w:t>Share Of Change (BankGroup or State)</w:t>
            </w:r>
          </w:p>
          <w:p w14:paraId="1EE52703" w14:textId="77777777" w:rsidR="00046151" w:rsidRDefault="00046151" w:rsidP="00046151">
            <w:pPr>
              <w:rPr>
                <w:rFonts w:ascii="Arial" w:hAnsi="Arial" w:cs="Arial"/>
                <w:sz w:val="24"/>
                <w:szCs w:val="24"/>
              </w:rPr>
            </w:pPr>
          </w:p>
        </w:tc>
        <w:tc>
          <w:tcPr>
            <w:tcW w:w="5778" w:type="dxa"/>
          </w:tcPr>
          <w:p w14:paraId="30A75C78" w14:textId="3EC5EC35" w:rsidR="00046151" w:rsidRPr="00046151" w:rsidRDefault="00046151" w:rsidP="00046151">
            <w:pPr>
              <w:rPr>
                <w:rFonts w:ascii="Arial" w:hAnsi="Arial" w:cs="Arial"/>
                <w:sz w:val="24"/>
                <w:szCs w:val="24"/>
              </w:rPr>
            </w:pPr>
            <w:r>
              <w:rPr>
                <w:rFonts w:ascii="Arial" w:hAnsi="Arial" w:cs="Arial"/>
                <w:b/>
                <w:bCs/>
                <w:sz w:val="24"/>
                <w:szCs w:val="24"/>
              </w:rPr>
              <w:t>S</w:t>
            </w:r>
            <w:r w:rsidRPr="00046151">
              <w:rPr>
                <w:rFonts w:ascii="Arial" w:hAnsi="Arial" w:cs="Arial"/>
                <w:b/>
                <w:bCs/>
                <w:sz w:val="24"/>
                <w:szCs w:val="24"/>
              </w:rPr>
              <w:t>hare of Change</w:t>
            </w:r>
            <w:r w:rsidRPr="00046151">
              <w:rPr>
                <w:rFonts w:ascii="Arial" w:hAnsi="Arial" w:cs="Arial"/>
                <w:sz w:val="24"/>
                <w:szCs w:val="24"/>
              </w:rPr>
              <w:t xml:space="preserve"> measure that shows how much each </w:t>
            </w:r>
            <w:r w:rsidRPr="00046151">
              <w:rPr>
                <w:rFonts w:ascii="Arial" w:hAnsi="Arial" w:cs="Arial"/>
                <w:b/>
                <w:bCs/>
                <w:sz w:val="24"/>
                <w:szCs w:val="24"/>
              </w:rPr>
              <w:t>BankGroup</w:t>
            </w:r>
            <w:r w:rsidRPr="00046151">
              <w:rPr>
                <w:rFonts w:ascii="Arial" w:hAnsi="Arial" w:cs="Arial"/>
                <w:sz w:val="24"/>
                <w:szCs w:val="24"/>
              </w:rPr>
              <w:t xml:space="preserve"> or </w:t>
            </w:r>
            <w:r w:rsidRPr="00046151">
              <w:rPr>
                <w:rFonts w:ascii="Arial" w:hAnsi="Arial" w:cs="Arial"/>
                <w:b/>
                <w:bCs/>
                <w:sz w:val="24"/>
                <w:szCs w:val="24"/>
              </w:rPr>
              <w:t>State</w:t>
            </w:r>
            <w:r w:rsidRPr="00046151">
              <w:rPr>
                <w:rFonts w:ascii="Arial" w:hAnsi="Arial" w:cs="Arial"/>
                <w:sz w:val="24"/>
                <w:szCs w:val="24"/>
              </w:rPr>
              <w:t xml:space="preserve"> contributes to the overall change in credit between two periods (e.g., YoY)</w:t>
            </w:r>
          </w:p>
          <w:p w14:paraId="58165EE7" w14:textId="77777777" w:rsidR="00046151" w:rsidRDefault="00046151" w:rsidP="00046151">
            <w:pPr>
              <w:rPr>
                <w:rFonts w:ascii="Arial" w:hAnsi="Arial" w:cs="Arial"/>
                <w:sz w:val="24"/>
                <w:szCs w:val="24"/>
              </w:rPr>
            </w:pPr>
          </w:p>
        </w:tc>
      </w:tr>
      <w:tr w:rsidR="00046151" w14:paraId="1CCF61F2" w14:textId="77777777" w:rsidTr="00046151">
        <w:tc>
          <w:tcPr>
            <w:tcW w:w="2631" w:type="dxa"/>
          </w:tcPr>
          <w:p w14:paraId="406BA4AC" w14:textId="744D9060" w:rsidR="00046151" w:rsidRPr="00046151" w:rsidRDefault="00046151" w:rsidP="00046151">
            <w:pPr>
              <w:rPr>
                <w:rFonts w:ascii="Arial" w:hAnsi="Arial" w:cs="Arial"/>
                <w:sz w:val="24"/>
                <w:szCs w:val="24"/>
              </w:rPr>
            </w:pPr>
            <w:r w:rsidRPr="00046151">
              <w:rPr>
                <w:rFonts w:ascii="Arial" w:hAnsi="Arial" w:cs="Arial"/>
                <w:sz w:val="24"/>
                <w:szCs w:val="24"/>
              </w:rPr>
              <w:t>Top3_Share_Secto</w:t>
            </w:r>
            <w:r>
              <w:rPr>
                <w:rFonts w:ascii="Arial" w:hAnsi="Arial" w:cs="Arial"/>
                <w:sz w:val="24"/>
                <w:szCs w:val="24"/>
              </w:rPr>
              <w:t>r</w:t>
            </w:r>
          </w:p>
        </w:tc>
        <w:tc>
          <w:tcPr>
            <w:tcW w:w="5778" w:type="dxa"/>
          </w:tcPr>
          <w:p w14:paraId="7C993691" w14:textId="7FA516F4" w:rsidR="00046151" w:rsidRPr="00046151" w:rsidRDefault="00046151" w:rsidP="00046151">
            <w:pPr>
              <w:rPr>
                <w:rFonts w:ascii="Arial" w:hAnsi="Arial" w:cs="Arial"/>
                <w:bCs/>
                <w:sz w:val="24"/>
                <w:szCs w:val="24"/>
              </w:rPr>
            </w:pPr>
            <w:r w:rsidRPr="00046151">
              <w:rPr>
                <w:rFonts w:ascii="Arial" w:hAnsi="Arial" w:cs="Arial"/>
                <w:b/>
                <w:bCs/>
                <w:sz w:val="24"/>
                <w:szCs w:val="24"/>
              </w:rPr>
              <w:t> </w:t>
            </w:r>
            <w:r w:rsidRPr="00046151">
              <w:rPr>
                <w:rFonts w:ascii="Arial" w:hAnsi="Arial" w:cs="Arial"/>
                <w:bCs/>
                <w:sz w:val="24"/>
                <w:szCs w:val="24"/>
              </w:rPr>
              <w:t>Top 3 BankGroups by credit within sector</w:t>
            </w:r>
            <w:r>
              <w:rPr>
                <w:rFonts w:ascii="Arial" w:hAnsi="Arial" w:cs="Arial"/>
                <w:bCs/>
                <w:sz w:val="24"/>
                <w:szCs w:val="24"/>
              </w:rPr>
              <w:t>s</w:t>
            </w:r>
          </w:p>
        </w:tc>
      </w:tr>
      <w:tr w:rsidR="00046151" w14:paraId="0B54C2ED" w14:textId="77777777" w:rsidTr="00046151">
        <w:tc>
          <w:tcPr>
            <w:tcW w:w="2631" w:type="dxa"/>
          </w:tcPr>
          <w:p w14:paraId="2E32D185" w14:textId="03B6B557" w:rsidR="00046151" w:rsidRPr="00046151" w:rsidRDefault="00046151" w:rsidP="00046151">
            <w:pPr>
              <w:rPr>
                <w:rFonts w:ascii="Arial" w:hAnsi="Arial" w:cs="Arial"/>
                <w:sz w:val="24"/>
                <w:szCs w:val="24"/>
              </w:rPr>
            </w:pPr>
            <w:r w:rsidRPr="00046151">
              <w:rPr>
                <w:rFonts w:ascii="Arial" w:hAnsi="Arial" w:cs="Arial"/>
                <w:sz w:val="24"/>
                <w:szCs w:val="24"/>
              </w:rPr>
              <w:t>HHI_Secto</w:t>
            </w:r>
            <w:r>
              <w:rPr>
                <w:rFonts w:ascii="Arial" w:hAnsi="Arial" w:cs="Arial"/>
                <w:sz w:val="24"/>
                <w:szCs w:val="24"/>
              </w:rPr>
              <w:t>r</w:t>
            </w:r>
          </w:p>
        </w:tc>
        <w:tc>
          <w:tcPr>
            <w:tcW w:w="5778" w:type="dxa"/>
          </w:tcPr>
          <w:p w14:paraId="6E9CAAE3" w14:textId="4662EC1C" w:rsidR="00046151" w:rsidRPr="00046151" w:rsidRDefault="00046151" w:rsidP="00046151">
            <w:pPr>
              <w:rPr>
                <w:rFonts w:ascii="Arial" w:hAnsi="Arial" w:cs="Arial"/>
                <w:sz w:val="24"/>
                <w:szCs w:val="24"/>
              </w:rPr>
            </w:pPr>
            <w:r w:rsidRPr="00046151">
              <w:rPr>
                <w:rFonts w:ascii="Arial" w:hAnsi="Arial" w:cs="Arial"/>
                <w:sz w:val="24"/>
                <w:szCs w:val="24"/>
              </w:rPr>
              <w:t>purpose: concentration index (sum of squared shares) by sectors</w:t>
            </w:r>
          </w:p>
        </w:tc>
      </w:tr>
      <w:tr w:rsidR="00046151" w14:paraId="300BD174" w14:textId="77777777" w:rsidTr="00046151">
        <w:tc>
          <w:tcPr>
            <w:tcW w:w="2631" w:type="dxa"/>
          </w:tcPr>
          <w:p w14:paraId="08B4F3FB" w14:textId="4BC537F8" w:rsidR="00046151" w:rsidRPr="00046151" w:rsidRDefault="00113015" w:rsidP="00046151">
            <w:pPr>
              <w:rPr>
                <w:rFonts w:ascii="Arial" w:hAnsi="Arial" w:cs="Arial"/>
                <w:sz w:val="24"/>
                <w:szCs w:val="24"/>
              </w:rPr>
            </w:pPr>
            <w:r w:rsidRPr="00113015">
              <w:rPr>
                <w:rFonts w:ascii="Arial" w:hAnsi="Arial" w:cs="Arial"/>
                <w:sz w:val="24"/>
                <w:szCs w:val="24"/>
              </w:rPr>
              <w:t>YoY Credit Percent</w:t>
            </w:r>
          </w:p>
        </w:tc>
        <w:tc>
          <w:tcPr>
            <w:tcW w:w="5778" w:type="dxa"/>
          </w:tcPr>
          <w:p w14:paraId="2100A021" w14:textId="0F19A905" w:rsidR="00046151" w:rsidRPr="00046151" w:rsidRDefault="00113015" w:rsidP="00113015">
            <w:pPr>
              <w:rPr>
                <w:rFonts w:ascii="Arial" w:hAnsi="Arial" w:cs="Arial"/>
                <w:sz w:val="24"/>
                <w:szCs w:val="24"/>
              </w:rPr>
            </w:pPr>
            <w:r w:rsidRPr="00113015">
              <w:rPr>
                <w:rFonts w:ascii="Arial" w:hAnsi="Arial" w:cs="Arial"/>
                <w:sz w:val="24"/>
                <w:szCs w:val="24"/>
              </w:rPr>
              <w:t>Year</w:t>
            </w:r>
            <w:r w:rsidRPr="00113015">
              <w:rPr>
                <w:rFonts w:ascii="Arial" w:hAnsi="Arial" w:cs="Arial"/>
                <w:sz w:val="24"/>
                <w:szCs w:val="24"/>
              </w:rPr>
              <w:noBreakHyphen/>
              <w:t>over</w:t>
            </w:r>
            <w:r w:rsidRPr="00113015">
              <w:rPr>
                <w:rFonts w:ascii="Arial" w:hAnsi="Arial" w:cs="Arial"/>
                <w:sz w:val="24"/>
                <w:szCs w:val="24"/>
              </w:rPr>
              <w:noBreakHyphen/>
              <w:t>Year growth rate in credit, current year’s credit exposure to the previous year’s, expressed as a percentage change.</w:t>
            </w:r>
          </w:p>
        </w:tc>
      </w:tr>
      <w:tr w:rsidR="00DD7931" w14:paraId="4A2BFC44" w14:textId="77777777" w:rsidTr="00046151">
        <w:tc>
          <w:tcPr>
            <w:tcW w:w="2631" w:type="dxa"/>
          </w:tcPr>
          <w:p w14:paraId="4A55E819" w14:textId="6B495769" w:rsidR="00DD7931" w:rsidRPr="00113015" w:rsidRDefault="00DD7931" w:rsidP="00046151">
            <w:pPr>
              <w:rPr>
                <w:rFonts w:ascii="Arial" w:hAnsi="Arial" w:cs="Arial"/>
                <w:sz w:val="24"/>
                <w:szCs w:val="24"/>
              </w:rPr>
            </w:pPr>
            <w:r>
              <w:rPr>
                <w:rFonts w:ascii="Arial" w:hAnsi="Arial" w:cs="Arial"/>
                <w:sz w:val="24"/>
                <w:szCs w:val="24"/>
              </w:rPr>
              <w:t>Utilization</w:t>
            </w:r>
          </w:p>
        </w:tc>
        <w:tc>
          <w:tcPr>
            <w:tcW w:w="5778" w:type="dxa"/>
          </w:tcPr>
          <w:p w14:paraId="6304CEE7" w14:textId="77777777" w:rsidR="00A9619C" w:rsidRPr="00A9619C" w:rsidRDefault="00A9619C" w:rsidP="00A9619C">
            <w:pPr>
              <w:rPr>
                <w:rFonts w:ascii="Arial" w:hAnsi="Arial" w:cs="Arial"/>
              </w:rPr>
            </w:pPr>
            <w:r w:rsidRPr="00A9619C">
              <w:rPr>
                <w:rFonts w:ascii="Arial" w:hAnsi="Arial" w:cs="Arial"/>
              </w:rPr>
              <w:t xml:space="preserve">Portfolio_Utilization = </w:t>
            </w:r>
          </w:p>
          <w:p w14:paraId="5CB5EC02" w14:textId="054ACB30" w:rsidR="00DD7931" w:rsidRPr="00A9619C" w:rsidRDefault="00A9619C" w:rsidP="00113015">
            <w:pPr>
              <w:rPr>
                <w:rFonts w:ascii="Arial" w:hAnsi="Arial" w:cs="Arial"/>
              </w:rPr>
            </w:pPr>
            <w:r w:rsidRPr="00A9619C">
              <w:rPr>
                <w:rFonts w:ascii="Arial" w:hAnsi="Arial" w:cs="Arial"/>
              </w:rPr>
              <w:t>DIVIDE( [Total_Outstanding], [Total_Credit_Limit], 0 )</w:t>
            </w:r>
          </w:p>
        </w:tc>
      </w:tr>
    </w:tbl>
    <w:p w14:paraId="607BD598" w14:textId="466E1746" w:rsidR="005B727F" w:rsidRPr="002338A7" w:rsidRDefault="005B727F" w:rsidP="000A5621">
      <w:pPr>
        <w:ind w:left="607"/>
        <w:rPr>
          <w:rFonts w:ascii="Arial" w:hAnsi="Arial" w:cs="Arial"/>
          <w:sz w:val="24"/>
          <w:szCs w:val="24"/>
        </w:rPr>
      </w:pPr>
    </w:p>
    <w:p w14:paraId="0C01F197" w14:textId="5CDCB3DF" w:rsidR="00B72756" w:rsidRDefault="00743617" w:rsidP="00B72756">
      <w:pPr>
        <w:rPr>
          <w:rFonts w:ascii="Arial" w:hAnsi="Arial" w:cs="Arial"/>
          <w:sz w:val="24"/>
          <w:szCs w:val="24"/>
        </w:rPr>
      </w:pPr>
      <w:r>
        <w:rPr>
          <w:rFonts w:ascii="Arial" w:hAnsi="Arial" w:cs="Arial"/>
          <w:sz w:val="24"/>
          <w:szCs w:val="24"/>
        </w:rPr>
        <w:lastRenderedPageBreak/>
        <w:t xml:space="preserve">          </w:t>
      </w:r>
      <w:r w:rsidRPr="00743617">
        <w:rPr>
          <w:rFonts w:ascii="Arial" w:hAnsi="Arial" w:cs="Arial"/>
          <w:noProof/>
          <w:sz w:val="24"/>
          <w:szCs w:val="24"/>
        </w:rPr>
        <w:drawing>
          <wp:inline distT="0" distB="0" distL="0" distR="0" wp14:anchorId="3E3A71D7" wp14:editId="08E029C4">
            <wp:extent cx="5292469" cy="2663825"/>
            <wp:effectExtent l="0" t="0" r="381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99068" cy="2667147"/>
                    </a:xfrm>
                    <a:prstGeom prst="rect">
                      <a:avLst/>
                    </a:prstGeom>
                  </pic:spPr>
                </pic:pic>
              </a:graphicData>
            </a:graphic>
          </wp:inline>
        </w:drawing>
      </w:r>
    </w:p>
    <w:p w14:paraId="66AEDA6A" w14:textId="3D233171" w:rsidR="00822E3A" w:rsidRDefault="00822E3A" w:rsidP="00822E3A">
      <w:pPr>
        <w:pStyle w:val="ListParagraph"/>
        <w:numPr>
          <w:ilvl w:val="0"/>
          <w:numId w:val="43"/>
        </w:numPr>
        <w:rPr>
          <w:rFonts w:ascii="Arial" w:hAnsi="Arial" w:cs="Arial"/>
          <w:b/>
          <w:i/>
          <w:sz w:val="24"/>
          <w:szCs w:val="24"/>
        </w:rPr>
      </w:pPr>
      <w:r w:rsidRPr="00822E3A">
        <w:rPr>
          <w:rFonts w:ascii="Arial" w:hAnsi="Arial" w:cs="Arial"/>
          <w:b/>
          <w:i/>
          <w:sz w:val="24"/>
          <w:szCs w:val="24"/>
        </w:rPr>
        <w:t>Calculated columns</w:t>
      </w:r>
    </w:p>
    <w:p w14:paraId="123C4D52" w14:textId="795900A8" w:rsidR="00822E3A" w:rsidRDefault="00822E3A" w:rsidP="00DD7931">
      <w:pPr>
        <w:pStyle w:val="ListParagraph"/>
        <w:rPr>
          <w:rFonts w:ascii="Arial" w:hAnsi="Arial" w:cs="Arial"/>
          <w:sz w:val="24"/>
          <w:szCs w:val="24"/>
        </w:rPr>
      </w:pPr>
      <w:r>
        <w:rPr>
          <w:rFonts w:ascii="Arial" w:hAnsi="Arial" w:cs="Arial"/>
          <w:sz w:val="24"/>
          <w:szCs w:val="24"/>
        </w:rPr>
        <w:t xml:space="preserve">The following calculated columns are </w:t>
      </w:r>
      <w:r w:rsidR="00DD7931">
        <w:rPr>
          <w:rFonts w:ascii="Arial" w:hAnsi="Arial" w:cs="Arial"/>
          <w:sz w:val="24"/>
          <w:szCs w:val="24"/>
        </w:rPr>
        <w:t>added.</w:t>
      </w:r>
    </w:p>
    <w:p w14:paraId="7BAD433C" w14:textId="77777777" w:rsidR="00DD7931" w:rsidRDefault="00DD7931" w:rsidP="00DD7931">
      <w:pPr>
        <w:pStyle w:val="ListParagraph"/>
        <w:numPr>
          <w:ilvl w:val="0"/>
          <w:numId w:val="15"/>
        </w:numPr>
        <w:rPr>
          <w:rFonts w:ascii="Arial" w:hAnsi="Arial" w:cs="Arial"/>
          <w:sz w:val="24"/>
          <w:szCs w:val="24"/>
        </w:rPr>
      </w:pPr>
      <w:r>
        <w:rPr>
          <w:rFonts w:ascii="Arial" w:hAnsi="Arial" w:cs="Arial"/>
          <w:sz w:val="24"/>
          <w:szCs w:val="24"/>
        </w:rPr>
        <w:t>YoY_Credit_BG</w:t>
      </w:r>
    </w:p>
    <w:p w14:paraId="48A47922" w14:textId="14111A03" w:rsidR="00DD7931" w:rsidRDefault="00DD7931" w:rsidP="00DD7931">
      <w:pPr>
        <w:pStyle w:val="ListParagraph"/>
        <w:ind w:left="1440"/>
        <w:rPr>
          <w:rFonts w:ascii="Arial" w:hAnsi="Arial" w:cs="Arial"/>
          <w:sz w:val="24"/>
          <w:szCs w:val="24"/>
        </w:rPr>
      </w:pPr>
      <w:r w:rsidRPr="00DD7931">
        <w:rPr>
          <w:rFonts w:ascii="Arial" w:hAnsi="Arial" w:cs="Arial"/>
          <w:sz w:val="24"/>
          <w:szCs w:val="24"/>
        </w:rPr>
        <w:t>This compares each BankGroup’s credit exposure in the current year vs the previous year and expresses it as a percentage change.</w:t>
      </w:r>
    </w:p>
    <w:p w14:paraId="04B08DE5" w14:textId="64849CFB" w:rsidR="00DD7931" w:rsidRPr="00DD7931" w:rsidRDefault="00DD7931" w:rsidP="00DD7931">
      <w:pPr>
        <w:ind w:left="1080"/>
        <w:rPr>
          <w:rFonts w:ascii="Arial" w:hAnsi="Arial" w:cs="Arial"/>
          <w:sz w:val="24"/>
          <w:szCs w:val="24"/>
        </w:rPr>
      </w:pPr>
      <w:r w:rsidRPr="00DD7931">
        <w:rPr>
          <w:noProof/>
        </w:rPr>
        <w:drawing>
          <wp:inline distT="0" distB="0" distL="0" distR="0" wp14:anchorId="4E8725DF" wp14:editId="541AAA96">
            <wp:extent cx="3634740" cy="1847169"/>
            <wp:effectExtent l="0" t="0" r="381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51373" cy="1855622"/>
                    </a:xfrm>
                    <a:prstGeom prst="rect">
                      <a:avLst/>
                    </a:prstGeom>
                  </pic:spPr>
                </pic:pic>
              </a:graphicData>
            </a:graphic>
          </wp:inline>
        </w:drawing>
      </w:r>
    </w:p>
    <w:p w14:paraId="1E3B4BDB" w14:textId="046CB440" w:rsidR="00DD7931" w:rsidRDefault="00DD7931" w:rsidP="00DD7931">
      <w:pPr>
        <w:pStyle w:val="ListParagraph"/>
        <w:rPr>
          <w:rFonts w:ascii="Arial" w:hAnsi="Arial" w:cs="Arial"/>
          <w:sz w:val="24"/>
          <w:szCs w:val="24"/>
        </w:rPr>
      </w:pPr>
      <w:r w:rsidRPr="00DD7931">
        <w:rPr>
          <w:rFonts w:ascii="Arial" w:hAnsi="Arial" w:cs="Arial"/>
          <w:noProof/>
          <w:sz w:val="24"/>
          <w:szCs w:val="24"/>
        </w:rPr>
        <w:drawing>
          <wp:inline distT="0" distB="0" distL="0" distR="0" wp14:anchorId="594BA91B" wp14:editId="39B8E6B3">
            <wp:extent cx="4350432" cy="22174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64388" cy="2224533"/>
                    </a:xfrm>
                    <a:prstGeom prst="rect">
                      <a:avLst/>
                    </a:prstGeom>
                  </pic:spPr>
                </pic:pic>
              </a:graphicData>
            </a:graphic>
          </wp:inline>
        </w:drawing>
      </w:r>
    </w:p>
    <w:p w14:paraId="1E109531" w14:textId="77777777" w:rsidR="00A9619C" w:rsidRDefault="00A9619C" w:rsidP="00A9619C">
      <w:pPr>
        <w:pStyle w:val="ListParagraph"/>
        <w:rPr>
          <w:rFonts w:ascii="Arial" w:hAnsi="Arial" w:cs="Arial"/>
          <w:sz w:val="24"/>
          <w:szCs w:val="24"/>
        </w:rPr>
      </w:pPr>
    </w:p>
    <w:p w14:paraId="5AFB36C8" w14:textId="72924BC3" w:rsidR="00A9619C" w:rsidRDefault="00A9619C" w:rsidP="00A9619C">
      <w:pPr>
        <w:pStyle w:val="ListParagraph"/>
        <w:numPr>
          <w:ilvl w:val="0"/>
          <w:numId w:val="15"/>
        </w:numPr>
        <w:rPr>
          <w:rFonts w:ascii="Arial" w:hAnsi="Arial" w:cs="Arial"/>
          <w:b/>
          <w:i/>
        </w:rPr>
      </w:pPr>
      <w:r>
        <w:rPr>
          <w:rFonts w:ascii="Arial" w:hAnsi="Arial" w:cs="Arial"/>
          <w:b/>
          <w:i/>
        </w:rPr>
        <w:t xml:space="preserve">High_UtilizationFlag </w:t>
      </w:r>
    </w:p>
    <w:p w14:paraId="38058EC3" w14:textId="24A9A9FB" w:rsidR="00A9619C" w:rsidRPr="00016F53" w:rsidRDefault="00A9619C" w:rsidP="00865B37">
      <w:pPr>
        <w:pStyle w:val="ListParagraph"/>
        <w:numPr>
          <w:ilvl w:val="0"/>
          <w:numId w:val="15"/>
        </w:numPr>
        <w:rPr>
          <w:rFonts w:ascii="Arial" w:hAnsi="Arial" w:cs="Arial"/>
          <w:sz w:val="24"/>
          <w:szCs w:val="24"/>
        </w:rPr>
      </w:pPr>
      <w:r w:rsidRPr="00A9619C">
        <w:rPr>
          <w:rFonts w:ascii="Arial" w:hAnsi="Arial" w:cs="Arial"/>
          <w:b/>
          <w:i/>
        </w:rPr>
        <w:t>HighUtilFlag = IF( Fact_Credit[Utilization Rate (Outstdg as % of Limit)] &gt; 0.75, 1, 0 )</w:t>
      </w:r>
    </w:p>
    <w:p w14:paraId="73520886" w14:textId="77777777" w:rsidR="0016338D" w:rsidRPr="00B72756" w:rsidRDefault="0016338D" w:rsidP="0016338D">
      <w:pPr>
        <w:pStyle w:val="Heading2"/>
        <w:tabs>
          <w:tab w:val="left" w:pos="263"/>
        </w:tabs>
        <w:spacing w:before="0" w:line="360" w:lineRule="auto"/>
        <w:ind w:left="283"/>
        <w:rPr>
          <w:rFonts w:ascii="Arial" w:hAnsi="Arial" w:cs="Arial"/>
          <w:color w:val="0070C0"/>
          <w:sz w:val="24"/>
          <w:szCs w:val="24"/>
        </w:rPr>
      </w:pPr>
      <w:r>
        <w:rPr>
          <w:rFonts w:ascii="Arial" w:hAnsi="Arial" w:cs="Arial"/>
          <w:color w:val="0070C0"/>
          <w:sz w:val="24"/>
          <w:szCs w:val="24"/>
        </w:rPr>
        <w:lastRenderedPageBreak/>
        <w:t>7</w:t>
      </w:r>
      <w:r w:rsidRPr="00A6415C">
        <w:rPr>
          <w:rFonts w:ascii="Arial" w:hAnsi="Arial" w:cs="Arial"/>
          <w:color w:val="0070C0"/>
          <w:sz w:val="24"/>
          <w:szCs w:val="24"/>
        </w:rPr>
        <w:t xml:space="preserve">.1. Data </w:t>
      </w:r>
      <w:r>
        <w:rPr>
          <w:rFonts w:ascii="Arial" w:hAnsi="Arial" w:cs="Arial"/>
          <w:color w:val="0070C0"/>
          <w:sz w:val="24"/>
          <w:szCs w:val="24"/>
        </w:rPr>
        <w:t>Modelling</w:t>
      </w:r>
    </w:p>
    <w:p w14:paraId="2D1E04FA" w14:textId="77777777" w:rsidR="0016338D" w:rsidRPr="002338A7" w:rsidRDefault="0016338D" w:rsidP="0016338D">
      <w:pPr>
        <w:pStyle w:val="ListParagraph"/>
        <w:numPr>
          <w:ilvl w:val="0"/>
          <w:numId w:val="11"/>
        </w:numPr>
        <w:rPr>
          <w:rFonts w:ascii="Arial" w:hAnsi="Arial" w:cs="Arial"/>
          <w:sz w:val="24"/>
          <w:szCs w:val="24"/>
        </w:rPr>
      </w:pPr>
      <w:r w:rsidRPr="002338A7">
        <w:rPr>
          <w:rFonts w:ascii="Arial" w:hAnsi="Arial" w:cs="Arial"/>
          <w:sz w:val="24"/>
          <w:szCs w:val="24"/>
        </w:rPr>
        <w:t>The original dataset was split into fact and dimension tables for structured analysis.</w:t>
      </w:r>
    </w:p>
    <w:p w14:paraId="73B1ADE1" w14:textId="77777777" w:rsidR="0016338D" w:rsidRDefault="0016338D" w:rsidP="0016338D">
      <w:pPr>
        <w:numPr>
          <w:ilvl w:val="0"/>
          <w:numId w:val="12"/>
        </w:numPr>
        <w:rPr>
          <w:rFonts w:ascii="Arial" w:hAnsi="Arial" w:cs="Arial"/>
          <w:sz w:val="24"/>
          <w:szCs w:val="24"/>
        </w:rPr>
      </w:pPr>
      <w:r w:rsidRPr="002338A7">
        <w:rPr>
          <w:rFonts w:ascii="Arial" w:hAnsi="Arial" w:cs="Arial"/>
          <w:sz w:val="24"/>
          <w:szCs w:val="24"/>
        </w:rPr>
        <w:t>Fact and dimension tables were created from the original dataset to support scenario modelling and descriptive analysis.</w:t>
      </w:r>
    </w:p>
    <w:p w14:paraId="02688063" w14:textId="77777777" w:rsidR="0016338D" w:rsidRDefault="0016338D" w:rsidP="0016338D">
      <w:pPr>
        <w:numPr>
          <w:ilvl w:val="0"/>
          <w:numId w:val="12"/>
        </w:numPr>
        <w:rPr>
          <w:rFonts w:ascii="Arial" w:hAnsi="Arial" w:cs="Arial"/>
          <w:sz w:val="24"/>
          <w:szCs w:val="24"/>
        </w:rPr>
      </w:pPr>
      <w:r>
        <w:rPr>
          <w:rFonts w:ascii="Arial" w:hAnsi="Arial" w:cs="Arial"/>
          <w:sz w:val="24"/>
          <w:szCs w:val="24"/>
        </w:rPr>
        <w:t>Fact_credit contains following attributes</w:t>
      </w:r>
    </w:p>
    <w:tbl>
      <w:tblPr>
        <w:tblStyle w:val="TableGrid"/>
        <w:tblW w:w="0" w:type="auto"/>
        <w:tblInd w:w="1440" w:type="dxa"/>
        <w:tblLook w:val="04A0" w:firstRow="1" w:lastRow="0" w:firstColumn="1" w:lastColumn="0" w:noHBand="0" w:noVBand="1"/>
      </w:tblPr>
      <w:tblGrid>
        <w:gridCol w:w="2666"/>
      </w:tblGrid>
      <w:tr w:rsidR="0016338D" w14:paraId="12FB9D02" w14:textId="77777777" w:rsidTr="00A07A7C">
        <w:tc>
          <w:tcPr>
            <w:tcW w:w="2666" w:type="dxa"/>
          </w:tcPr>
          <w:p w14:paraId="7E11FBF3" w14:textId="77777777" w:rsidR="0016338D" w:rsidRDefault="0016338D" w:rsidP="00A07A7C">
            <w:pPr>
              <w:rPr>
                <w:rFonts w:ascii="Arial" w:hAnsi="Arial" w:cs="Arial"/>
                <w:sz w:val="24"/>
                <w:szCs w:val="24"/>
              </w:rPr>
            </w:pPr>
            <w:r>
              <w:rPr>
                <w:rFonts w:ascii="Arial" w:hAnsi="Arial" w:cs="Arial"/>
                <w:sz w:val="24"/>
                <w:szCs w:val="24"/>
              </w:rPr>
              <w:t>Credit_ID</w:t>
            </w:r>
          </w:p>
        </w:tc>
      </w:tr>
      <w:tr w:rsidR="0016338D" w14:paraId="29D7A67B" w14:textId="77777777" w:rsidTr="00A07A7C">
        <w:tc>
          <w:tcPr>
            <w:tcW w:w="2666" w:type="dxa"/>
          </w:tcPr>
          <w:p w14:paraId="59C3065B" w14:textId="77777777" w:rsidR="0016338D" w:rsidRDefault="0016338D" w:rsidP="00A07A7C">
            <w:pPr>
              <w:rPr>
                <w:rFonts w:ascii="Arial" w:hAnsi="Arial" w:cs="Arial"/>
                <w:sz w:val="24"/>
                <w:szCs w:val="24"/>
              </w:rPr>
            </w:pPr>
            <w:r>
              <w:rPr>
                <w:rFonts w:ascii="Arial" w:hAnsi="Arial" w:cs="Arial"/>
                <w:sz w:val="24"/>
                <w:szCs w:val="24"/>
              </w:rPr>
              <w:t>Year</w:t>
            </w:r>
          </w:p>
        </w:tc>
      </w:tr>
      <w:tr w:rsidR="0016338D" w14:paraId="7EB521E8" w14:textId="77777777" w:rsidTr="00A07A7C">
        <w:tc>
          <w:tcPr>
            <w:tcW w:w="2666" w:type="dxa"/>
          </w:tcPr>
          <w:p w14:paraId="511A72DB" w14:textId="77777777" w:rsidR="0016338D" w:rsidRDefault="0016338D" w:rsidP="00A07A7C">
            <w:pPr>
              <w:rPr>
                <w:rFonts w:ascii="Arial" w:hAnsi="Arial" w:cs="Arial"/>
                <w:sz w:val="24"/>
                <w:szCs w:val="24"/>
              </w:rPr>
            </w:pPr>
            <w:r>
              <w:rPr>
                <w:rFonts w:ascii="Arial" w:hAnsi="Arial" w:cs="Arial"/>
                <w:sz w:val="24"/>
                <w:szCs w:val="24"/>
              </w:rPr>
              <w:t>Reg_ID</w:t>
            </w:r>
          </w:p>
        </w:tc>
      </w:tr>
      <w:tr w:rsidR="0016338D" w14:paraId="67D7BBC6" w14:textId="77777777" w:rsidTr="00A07A7C">
        <w:tc>
          <w:tcPr>
            <w:tcW w:w="2666" w:type="dxa"/>
          </w:tcPr>
          <w:p w14:paraId="05E2C622" w14:textId="77777777" w:rsidR="0016338D" w:rsidRDefault="0016338D" w:rsidP="00A07A7C">
            <w:pPr>
              <w:rPr>
                <w:rFonts w:ascii="Arial" w:hAnsi="Arial" w:cs="Arial"/>
                <w:sz w:val="24"/>
                <w:szCs w:val="24"/>
              </w:rPr>
            </w:pPr>
            <w:r>
              <w:rPr>
                <w:rFonts w:ascii="Arial" w:hAnsi="Arial" w:cs="Arial"/>
                <w:sz w:val="24"/>
                <w:szCs w:val="24"/>
              </w:rPr>
              <w:t>Reg_Key</w:t>
            </w:r>
          </w:p>
        </w:tc>
      </w:tr>
      <w:tr w:rsidR="0016338D" w14:paraId="1EB9B97D" w14:textId="77777777" w:rsidTr="00A07A7C">
        <w:tc>
          <w:tcPr>
            <w:tcW w:w="2666" w:type="dxa"/>
          </w:tcPr>
          <w:p w14:paraId="5A4B8853" w14:textId="77777777" w:rsidR="0016338D" w:rsidRDefault="0016338D" w:rsidP="00A07A7C">
            <w:pPr>
              <w:rPr>
                <w:rFonts w:ascii="Arial" w:hAnsi="Arial" w:cs="Arial"/>
                <w:sz w:val="24"/>
                <w:szCs w:val="24"/>
              </w:rPr>
            </w:pPr>
            <w:r>
              <w:rPr>
                <w:rFonts w:ascii="Arial" w:hAnsi="Arial" w:cs="Arial"/>
                <w:sz w:val="24"/>
                <w:szCs w:val="24"/>
              </w:rPr>
              <w:t>Sec_ID</w:t>
            </w:r>
          </w:p>
        </w:tc>
      </w:tr>
      <w:tr w:rsidR="0016338D" w14:paraId="640D305E" w14:textId="77777777" w:rsidTr="00A07A7C">
        <w:tc>
          <w:tcPr>
            <w:tcW w:w="2666" w:type="dxa"/>
          </w:tcPr>
          <w:p w14:paraId="560DA203" w14:textId="77777777" w:rsidR="0016338D" w:rsidRDefault="0016338D" w:rsidP="00A07A7C">
            <w:pPr>
              <w:rPr>
                <w:rFonts w:ascii="Arial" w:hAnsi="Arial" w:cs="Arial"/>
                <w:sz w:val="24"/>
                <w:szCs w:val="24"/>
              </w:rPr>
            </w:pPr>
            <w:r>
              <w:rPr>
                <w:rFonts w:ascii="Arial" w:hAnsi="Arial" w:cs="Arial"/>
                <w:sz w:val="24"/>
                <w:szCs w:val="24"/>
              </w:rPr>
              <w:t>Sec_Key</w:t>
            </w:r>
          </w:p>
        </w:tc>
      </w:tr>
      <w:tr w:rsidR="0016338D" w14:paraId="121FF1F8" w14:textId="77777777" w:rsidTr="00A07A7C">
        <w:tc>
          <w:tcPr>
            <w:tcW w:w="2666" w:type="dxa"/>
          </w:tcPr>
          <w:p w14:paraId="690579D6" w14:textId="77777777" w:rsidR="0016338D" w:rsidRDefault="0016338D" w:rsidP="00A07A7C">
            <w:pPr>
              <w:rPr>
                <w:rFonts w:ascii="Arial" w:hAnsi="Arial" w:cs="Arial"/>
                <w:sz w:val="24"/>
                <w:szCs w:val="24"/>
              </w:rPr>
            </w:pPr>
            <w:r>
              <w:rPr>
                <w:rFonts w:ascii="Arial" w:hAnsi="Arial" w:cs="Arial"/>
                <w:sz w:val="24"/>
                <w:szCs w:val="24"/>
              </w:rPr>
              <w:t>Bank_ID</w:t>
            </w:r>
          </w:p>
        </w:tc>
      </w:tr>
      <w:tr w:rsidR="0016338D" w14:paraId="01A4D980" w14:textId="77777777" w:rsidTr="00A07A7C">
        <w:tc>
          <w:tcPr>
            <w:tcW w:w="2666" w:type="dxa"/>
          </w:tcPr>
          <w:p w14:paraId="6E9267CB" w14:textId="77777777" w:rsidR="0016338D" w:rsidRDefault="0016338D" w:rsidP="00A07A7C">
            <w:pPr>
              <w:rPr>
                <w:rFonts w:ascii="Arial" w:hAnsi="Arial" w:cs="Arial"/>
                <w:sz w:val="24"/>
                <w:szCs w:val="24"/>
              </w:rPr>
            </w:pPr>
            <w:r>
              <w:rPr>
                <w:rFonts w:ascii="Arial" w:hAnsi="Arial" w:cs="Arial"/>
                <w:sz w:val="24"/>
                <w:szCs w:val="24"/>
              </w:rPr>
              <w:t>Bank_Key</w:t>
            </w:r>
          </w:p>
        </w:tc>
      </w:tr>
      <w:tr w:rsidR="0016338D" w14:paraId="169CA8D3" w14:textId="77777777" w:rsidTr="00A07A7C">
        <w:tc>
          <w:tcPr>
            <w:tcW w:w="2666" w:type="dxa"/>
          </w:tcPr>
          <w:p w14:paraId="2C38B5A1" w14:textId="77777777" w:rsidR="0016338D" w:rsidRDefault="0016338D" w:rsidP="00A07A7C">
            <w:pPr>
              <w:rPr>
                <w:rFonts w:ascii="Arial" w:hAnsi="Arial" w:cs="Arial"/>
                <w:sz w:val="24"/>
                <w:szCs w:val="24"/>
              </w:rPr>
            </w:pPr>
            <w:r>
              <w:rPr>
                <w:rFonts w:ascii="Arial" w:hAnsi="Arial" w:cs="Arial"/>
                <w:sz w:val="24"/>
                <w:szCs w:val="24"/>
              </w:rPr>
              <w:t>No. Of Accounts</w:t>
            </w:r>
          </w:p>
        </w:tc>
      </w:tr>
      <w:tr w:rsidR="0016338D" w14:paraId="50A5B6FB" w14:textId="77777777" w:rsidTr="00A07A7C">
        <w:tc>
          <w:tcPr>
            <w:tcW w:w="2666" w:type="dxa"/>
          </w:tcPr>
          <w:p w14:paraId="130562A3" w14:textId="77777777" w:rsidR="0016338D" w:rsidRDefault="0016338D" w:rsidP="00A07A7C">
            <w:pPr>
              <w:rPr>
                <w:rFonts w:ascii="Arial" w:hAnsi="Arial" w:cs="Arial"/>
                <w:sz w:val="24"/>
                <w:szCs w:val="24"/>
              </w:rPr>
            </w:pPr>
            <w:r>
              <w:rPr>
                <w:rFonts w:ascii="Arial" w:hAnsi="Arial" w:cs="Arial"/>
                <w:sz w:val="24"/>
                <w:szCs w:val="24"/>
              </w:rPr>
              <w:t>Credit_Limit</w:t>
            </w:r>
          </w:p>
        </w:tc>
      </w:tr>
      <w:tr w:rsidR="0016338D" w14:paraId="6F3A554B" w14:textId="77777777" w:rsidTr="00A07A7C">
        <w:tc>
          <w:tcPr>
            <w:tcW w:w="2666" w:type="dxa"/>
          </w:tcPr>
          <w:p w14:paraId="0069A061" w14:textId="77777777" w:rsidR="0016338D" w:rsidRDefault="0016338D" w:rsidP="00A07A7C">
            <w:pPr>
              <w:rPr>
                <w:rFonts w:ascii="Arial" w:hAnsi="Arial" w:cs="Arial"/>
                <w:sz w:val="24"/>
                <w:szCs w:val="24"/>
              </w:rPr>
            </w:pPr>
            <w:r>
              <w:rPr>
                <w:rFonts w:ascii="Arial" w:hAnsi="Arial" w:cs="Arial"/>
                <w:sz w:val="24"/>
                <w:szCs w:val="24"/>
              </w:rPr>
              <w:t>UttilizationRate</w:t>
            </w:r>
          </w:p>
        </w:tc>
      </w:tr>
      <w:tr w:rsidR="0016338D" w14:paraId="5B688ED7" w14:textId="77777777" w:rsidTr="00A07A7C">
        <w:tc>
          <w:tcPr>
            <w:tcW w:w="2666" w:type="dxa"/>
          </w:tcPr>
          <w:p w14:paraId="2BE716F5" w14:textId="77777777" w:rsidR="0016338D" w:rsidRDefault="0016338D" w:rsidP="00A07A7C">
            <w:pPr>
              <w:rPr>
                <w:rFonts w:ascii="Arial" w:hAnsi="Arial" w:cs="Arial"/>
                <w:sz w:val="24"/>
                <w:szCs w:val="24"/>
              </w:rPr>
            </w:pPr>
            <w:r>
              <w:rPr>
                <w:rFonts w:ascii="Arial" w:hAnsi="Arial" w:cs="Arial"/>
                <w:sz w:val="24"/>
                <w:szCs w:val="24"/>
              </w:rPr>
              <w:t>ScenarioOutstanding</w:t>
            </w:r>
          </w:p>
        </w:tc>
      </w:tr>
      <w:tr w:rsidR="0016338D" w14:paraId="178A2C78" w14:textId="77777777" w:rsidTr="00A07A7C">
        <w:tc>
          <w:tcPr>
            <w:tcW w:w="2666" w:type="dxa"/>
          </w:tcPr>
          <w:p w14:paraId="553CC624" w14:textId="77777777" w:rsidR="0016338D" w:rsidRDefault="0016338D" w:rsidP="00A07A7C">
            <w:pPr>
              <w:rPr>
                <w:rFonts w:ascii="Arial" w:hAnsi="Arial" w:cs="Arial"/>
                <w:sz w:val="24"/>
                <w:szCs w:val="24"/>
              </w:rPr>
            </w:pPr>
            <w:r>
              <w:rPr>
                <w:rFonts w:ascii="Arial" w:hAnsi="Arial" w:cs="Arial"/>
                <w:sz w:val="24"/>
                <w:szCs w:val="24"/>
              </w:rPr>
              <w:t>ScenarioUtilization</w:t>
            </w:r>
          </w:p>
        </w:tc>
      </w:tr>
      <w:tr w:rsidR="0016338D" w14:paraId="5929D50A" w14:textId="77777777" w:rsidTr="00A07A7C">
        <w:tc>
          <w:tcPr>
            <w:tcW w:w="2666" w:type="dxa"/>
          </w:tcPr>
          <w:p w14:paraId="2AD8C5D2" w14:textId="77777777" w:rsidR="0016338D" w:rsidRDefault="0016338D" w:rsidP="00A07A7C">
            <w:pPr>
              <w:rPr>
                <w:rFonts w:ascii="Arial" w:hAnsi="Arial" w:cs="Arial"/>
                <w:sz w:val="24"/>
                <w:szCs w:val="24"/>
              </w:rPr>
            </w:pPr>
            <w:r>
              <w:rPr>
                <w:rFonts w:ascii="Arial" w:hAnsi="Arial" w:cs="Arial"/>
                <w:sz w:val="24"/>
                <w:szCs w:val="24"/>
              </w:rPr>
              <w:t>Outstanding</w:t>
            </w:r>
          </w:p>
        </w:tc>
      </w:tr>
    </w:tbl>
    <w:p w14:paraId="21988D20" w14:textId="77777777" w:rsidR="0016338D" w:rsidRDefault="0016338D" w:rsidP="0016338D">
      <w:pPr>
        <w:numPr>
          <w:ilvl w:val="0"/>
          <w:numId w:val="12"/>
        </w:numPr>
        <w:rPr>
          <w:rFonts w:ascii="Arial" w:hAnsi="Arial" w:cs="Arial"/>
          <w:sz w:val="24"/>
          <w:szCs w:val="24"/>
        </w:rPr>
      </w:pPr>
      <w:r w:rsidRPr="000A40FE">
        <w:rPr>
          <w:rFonts w:ascii="Arial" w:hAnsi="Arial" w:cs="Arial"/>
          <w:sz w:val="24"/>
          <w:szCs w:val="24"/>
        </w:rPr>
        <w:t xml:space="preserve">From Fact_credit, Region, State and Districts and </w:t>
      </w:r>
      <w:r>
        <w:rPr>
          <w:rFonts w:ascii="Arial" w:hAnsi="Arial" w:cs="Arial"/>
          <w:sz w:val="24"/>
          <w:szCs w:val="24"/>
        </w:rPr>
        <w:t>copied</w:t>
      </w:r>
      <w:r w:rsidRPr="000A40FE">
        <w:rPr>
          <w:rFonts w:ascii="Arial" w:hAnsi="Arial" w:cs="Arial"/>
          <w:sz w:val="24"/>
          <w:szCs w:val="24"/>
        </w:rPr>
        <w:t xml:space="preserve"> to separate sheet  and </w:t>
      </w:r>
      <w:r>
        <w:rPr>
          <w:rFonts w:ascii="Arial" w:hAnsi="Arial" w:cs="Arial"/>
          <w:sz w:val="24"/>
          <w:szCs w:val="24"/>
        </w:rPr>
        <w:t xml:space="preserve">normalized </w:t>
      </w:r>
      <w:r w:rsidRPr="000A40FE">
        <w:rPr>
          <w:rFonts w:ascii="Arial" w:hAnsi="Arial" w:cs="Arial"/>
          <w:sz w:val="24"/>
          <w:szCs w:val="24"/>
        </w:rPr>
        <w:t>Region</w:t>
      </w:r>
      <w:r>
        <w:rPr>
          <w:rFonts w:ascii="Arial" w:hAnsi="Arial" w:cs="Arial"/>
          <w:sz w:val="24"/>
          <w:szCs w:val="24"/>
        </w:rPr>
        <w:t xml:space="preserve"> </w:t>
      </w:r>
      <w:r w:rsidRPr="000A40FE">
        <w:rPr>
          <w:rFonts w:ascii="Arial" w:hAnsi="Arial" w:cs="Arial"/>
          <w:sz w:val="24"/>
          <w:szCs w:val="24"/>
        </w:rPr>
        <w:t xml:space="preserve">key </w:t>
      </w:r>
      <w:r w:rsidRPr="000A40FE">
        <w:rPr>
          <w:rFonts w:ascii="Arial" w:hAnsi="Arial" w:cs="Arial"/>
          <w:b/>
          <w:i/>
          <w:sz w:val="24"/>
          <w:szCs w:val="24"/>
        </w:rPr>
        <w:t>Reg_Key</w:t>
      </w:r>
      <w:r w:rsidRPr="000A40FE">
        <w:rPr>
          <w:rFonts w:ascii="Arial" w:hAnsi="Arial" w:cs="Arial"/>
          <w:sz w:val="24"/>
          <w:szCs w:val="24"/>
        </w:rPr>
        <w:t xml:space="preserve"> is created by merging the Region,State and District content by delimiter.</w:t>
      </w:r>
    </w:p>
    <w:p w14:paraId="746ADA44" w14:textId="77777777" w:rsidR="0016338D" w:rsidRPr="00F95462" w:rsidRDefault="0016338D" w:rsidP="0016338D">
      <w:pPr>
        <w:pStyle w:val="ListParagraph"/>
        <w:numPr>
          <w:ilvl w:val="0"/>
          <w:numId w:val="16"/>
        </w:numPr>
        <w:ind w:left="1494"/>
        <w:rPr>
          <w:rFonts w:ascii="Arial" w:hAnsi="Arial" w:cs="Arial"/>
          <w:b/>
          <w:i/>
          <w:sz w:val="24"/>
          <w:szCs w:val="24"/>
        </w:rPr>
      </w:pPr>
      <w:r w:rsidRPr="00F95462">
        <w:rPr>
          <w:rFonts w:ascii="Arial" w:hAnsi="Arial" w:cs="Arial"/>
          <w:b/>
          <w:i/>
        </w:rPr>
        <w:t>TRIM([@Region]) &amp; "|" &amp; TRIM([@State]) &amp; "|" &amp; TRIM([@District])</w:t>
      </w:r>
    </w:p>
    <w:p w14:paraId="42445425" w14:textId="77777777" w:rsidR="0016338D" w:rsidRPr="000B386B" w:rsidRDefault="0016338D" w:rsidP="0016338D">
      <w:pPr>
        <w:numPr>
          <w:ilvl w:val="0"/>
          <w:numId w:val="12"/>
        </w:numPr>
        <w:rPr>
          <w:rFonts w:ascii="Arial" w:hAnsi="Arial" w:cs="Arial"/>
          <w:sz w:val="24"/>
          <w:szCs w:val="24"/>
        </w:rPr>
      </w:pPr>
      <w:r w:rsidRPr="001347FC">
        <w:rPr>
          <w:rFonts w:ascii="Arial" w:hAnsi="Arial" w:cs="Arial"/>
          <w:b/>
          <w:bCs/>
          <w:i/>
          <w:iCs/>
          <w:sz w:val="24"/>
          <w:szCs w:val="24"/>
        </w:rPr>
        <w:t>Reg_ID</w:t>
      </w:r>
      <w:r w:rsidRPr="000A40FE">
        <w:rPr>
          <w:rFonts w:ascii="Arial" w:hAnsi="Arial" w:cs="Arial"/>
          <w:sz w:val="24"/>
          <w:szCs w:val="24"/>
        </w:rPr>
        <w:t xml:space="preserve"> is the text column, created with Flash fill of Excel by entering the first-row data as </w:t>
      </w:r>
      <w:r w:rsidRPr="000A40FE">
        <w:rPr>
          <w:rFonts w:ascii="Arial" w:hAnsi="Arial" w:cs="Arial"/>
          <w:b/>
          <w:i/>
          <w:sz w:val="24"/>
          <w:szCs w:val="24"/>
        </w:rPr>
        <w:t>R1</w:t>
      </w:r>
      <w:r w:rsidRPr="000A40FE">
        <w:rPr>
          <w:rFonts w:ascii="Arial" w:hAnsi="Arial" w:cs="Arial"/>
          <w:sz w:val="24"/>
          <w:szCs w:val="24"/>
        </w:rPr>
        <w:t xml:space="preserve">. </w:t>
      </w:r>
    </w:p>
    <w:p w14:paraId="525CE994" w14:textId="77777777" w:rsidR="0016338D" w:rsidRDefault="0016338D" w:rsidP="0016338D">
      <w:pPr>
        <w:numPr>
          <w:ilvl w:val="0"/>
          <w:numId w:val="12"/>
        </w:numPr>
        <w:rPr>
          <w:rFonts w:ascii="Arial" w:hAnsi="Arial" w:cs="Arial"/>
          <w:sz w:val="24"/>
          <w:szCs w:val="24"/>
        </w:rPr>
      </w:pPr>
      <w:r w:rsidRPr="001347FC">
        <w:rPr>
          <w:rFonts w:ascii="Arial" w:hAnsi="Arial" w:cs="Arial"/>
          <w:b/>
          <w:bCs/>
          <w:i/>
          <w:iCs/>
          <w:sz w:val="24"/>
          <w:szCs w:val="24"/>
        </w:rPr>
        <w:t>Fact_Credit</w:t>
      </w:r>
      <w:r>
        <w:rPr>
          <w:rFonts w:ascii="Arial" w:hAnsi="Arial" w:cs="Arial"/>
          <w:sz w:val="24"/>
          <w:szCs w:val="24"/>
        </w:rPr>
        <w:t xml:space="preserve"> Table as well as changed accordingly.</w:t>
      </w:r>
    </w:p>
    <w:p w14:paraId="5179C04F" w14:textId="77777777" w:rsidR="0016338D" w:rsidRDefault="0016338D" w:rsidP="0016338D">
      <w:pPr>
        <w:numPr>
          <w:ilvl w:val="0"/>
          <w:numId w:val="12"/>
        </w:numPr>
        <w:rPr>
          <w:rFonts w:ascii="Arial" w:hAnsi="Arial" w:cs="Arial"/>
          <w:sz w:val="24"/>
          <w:szCs w:val="24"/>
        </w:rPr>
      </w:pPr>
      <w:r>
        <w:rPr>
          <w:rFonts w:ascii="Arial" w:hAnsi="Arial" w:cs="Arial"/>
          <w:sz w:val="24"/>
          <w:szCs w:val="24"/>
        </w:rPr>
        <w:t xml:space="preserve">The same </w:t>
      </w:r>
      <w:r w:rsidRPr="001347FC">
        <w:rPr>
          <w:rFonts w:ascii="Arial" w:hAnsi="Arial" w:cs="Arial"/>
          <w:b/>
          <w:bCs/>
          <w:i/>
          <w:iCs/>
          <w:sz w:val="24"/>
          <w:szCs w:val="24"/>
        </w:rPr>
        <w:t>Trim</w:t>
      </w:r>
      <w:r>
        <w:rPr>
          <w:rFonts w:ascii="Arial" w:hAnsi="Arial" w:cs="Arial"/>
          <w:sz w:val="24"/>
          <w:szCs w:val="24"/>
        </w:rPr>
        <w:t xml:space="preserve"> and </w:t>
      </w:r>
      <w:r w:rsidRPr="001347FC">
        <w:rPr>
          <w:rFonts w:ascii="Arial" w:hAnsi="Arial" w:cs="Arial"/>
          <w:b/>
          <w:bCs/>
          <w:i/>
          <w:iCs/>
          <w:sz w:val="24"/>
          <w:szCs w:val="24"/>
        </w:rPr>
        <w:t>Concatenation</w:t>
      </w:r>
      <w:r>
        <w:rPr>
          <w:rFonts w:ascii="Arial" w:hAnsi="Arial" w:cs="Arial"/>
          <w:sz w:val="24"/>
          <w:szCs w:val="24"/>
        </w:rPr>
        <w:t xml:space="preserve"> is used to create the </w:t>
      </w:r>
      <w:r w:rsidRPr="001347FC">
        <w:rPr>
          <w:rFonts w:ascii="Arial" w:hAnsi="Arial" w:cs="Arial"/>
          <w:b/>
          <w:bCs/>
          <w:i/>
          <w:iCs/>
          <w:sz w:val="24"/>
          <w:szCs w:val="24"/>
        </w:rPr>
        <w:t>Reg_Key</w:t>
      </w:r>
      <w:r>
        <w:rPr>
          <w:rFonts w:ascii="Arial" w:hAnsi="Arial" w:cs="Arial"/>
          <w:sz w:val="24"/>
          <w:szCs w:val="24"/>
        </w:rPr>
        <w:t xml:space="preserve"> column in the </w:t>
      </w:r>
      <w:r w:rsidRPr="001347FC">
        <w:rPr>
          <w:rFonts w:ascii="Arial" w:hAnsi="Arial" w:cs="Arial"/>
          <w:b/>
          <w:bCs/>
          <w:i/>
          <w:iCs/>
          <w:sz w:val="24"/>
          <w:szCs w:val="24"/>
        </w:rPr>
        <w:t>Fact_Credit</w:t>
      </w:r>
      <w:r>
        <w:rPr>
          <w:rFonts w:ascii="Arial" w:hAnsi="Arial" w:cs="Arial"/>
          <w:sz w:val="24"/>
          <w:szCs w:val="24"/>
        </w:rPr>
        <w:t xml:space="preserve"> Table.</w:t>
      </w:r>
    </w:p>
    <w:p w14:paraId="46D385F8" w14:textId="77777777" w:rsidR="0016338D" w:rsidRPr="00081DEA" w:rsidRDefault="0016338D" w:rsidP="0016338D">
      <w:pPr>
        <w:numPr>
          <w:ilvl w:val="0"/>
          <w:numId w:val="12"/>
        </w:numPr>
        <w:rPr>
          <w:rFonts w:ascii="Arial" w:hAnsi="Arial" w:cs="Arial"/>
          <w:sz w:val="24"/>
          <w:szCs w:val="24"/>
        </w:rPr>
      </w:pPr>
      <w:r>
        <w:rPr>
          <w:rFonts w:ascii="Arial" w:hAnsi="Arial" w:cs="Arial"/>
          <w:sz w:val="24"/>
          <w:szCs w:val="24"/>
        </w:rPr>
        <w:t xml:space="preserve">The </w:t>
      </w:r>
      <w:r w:rsidRPr="001347FC">
        <w:rPr>
          <w:rFonts w:ascii="Arial" w:hAnsi="Arial" w:cs="Arial"/>
          <w:b/>
          <w:bCs/>
          <w:i/>
          <w:iCs/>
          <w:sz w:val="24"/>
          <w:szCs w:val="24"/>
        </w:rPr>
        <w:t>Reg_ID</w:t>
      </w:r>
      <w:r>
        <w:rPr>
          <w:rFonts w:ascii="Arial" w:hAnsi="Arial" w:cs="Arial"/>
          <w:sz w:val="24"/>
          <w:szCs w:val="24"/>
        </w:rPr>
        <w:t xml:space="preserve"> column is created in </w:t>
      </w:r>
      <w:r w:rsidRPr="001347FC">
        <w:rPr>
          <w:rFonts w:ascii="Arial" w:hAnsi="Arial" w:cs="Arial"/>
          <w:b/>
          <w:bCs/>
          <w:i/>
          <w:iCs/>
          <w:sz w:val="24"/>
          <w:szCs w:val="24"/>
        </w:rPr>
        <w:t>Fact_Credit</w:t>
      </w:r>
      <w:r>
        <w:rPr>
          <w:rFonts w:ascii="Arial" w:hAnsi="Arial" w:cs="Arial"/>
          <w:sz w:val="24"/>
          <w:szCs w:val="24"/>
        </w:rPr>
        <w:t xml:space="preserve"> and ID is Pulled to the table by </w:t>
      </w:r>
      <w:r w:rsidRPr="00EE64A7">
        <w:rPr>
          <w:rFonts w:ascii="Arial" w:hAnsi="Arial" w:cs="Arial"/>
          <w:b/>
          <w:i/>
          <w:sz w:val="24"/>
          <w:szCs w:val="24"/>
        </w:rPr>
        <w:t>XLOOKUP</w:t>
      </w:r>
      <w:r>
        <w:rPr>
          <w:rFonts w:ascii="Arial" w:hAnsi="Arial" w:cs="Arial"/>
          <w:b/>
          <w:i/>
          <w:sz w:val="24"/>
          <w:szCs w:val="24"/>
        </w:rPr>
        <w:t>.</w:t>
      </w:r>
    </w:p>
    <w:p w14:paraId="3BC74AD1" w14:textId="77777777" w:rsidR="0016338D" w:rsidRPr="00252EEA" w:rsidRDefault="0016338D" w:rsidP="0016338D">
      <w:pPr>
        <w:pStyle w:val="ListParagraph"/>
        <w:numPr>
          <w:ilvl w:val="1"/>
          <w:numId w:val="17"/>
        </w:numPr>
        <w:ind w:left="1494"/>
        <w:rPr>
          <w:b/>
          <w:bCs/>
          <w:i/>
          <w:iCs/>
        </w:rPr>
      </w:pPr>
      <w:r w:rsidRPr="00252EEA">
        <w:rPr>
          <w:b/>
          <w:bCs/>
          <w:i/>
          <w:iCs/>
        </w:rPr>
        <w:t>=XLOOKUP([@</w:t>
      </w:r>
      <w:r>
        <w:rPr>
          <w:b/>
          <w:bCs/>
          <w:i/>
          <w:iCs/>
        </w:rPr>
        <w:t>Reg_</w:t>
      </w:r>
      <w:r w:rsidRPr="00252EEA">
        <w:rPr>
          <w:b/>
          <w:bCs/>
          <w:i/>
          <w:iCs/>
        </w:rPr>
        <w:t>Key], Dim_</w:t>
      </w:r>
      <w:r>
        <w:rPr>
          <w:b/>
          <w:bCs/>
          <w:i/>
          <w:iCs/>
        </w:rPr>
        <w:t>Region</w:t>
      </w:r>
      <w:r w:rsidRPr="00252EEA">
        <w:rPr>
          <w:b/>
          <w:bCs/>
          <w:i/>
          <w:iCs/>
        </w:rPr>
        <w:t>[</w:t>
      </w:r>
      <w:r>
        <w:rPr>
          <w:b/>
          <w:bCs/>
          <w:i/>
          <w:iCs/>
        </w:rPr>
        <w:t>Reg_</w:t>
      </w:r>
      <w:r w:rsidRPr="00252EEA">
        <w:rPr>
          <w:b/>
          <w:bCs/>
          <w:i/>
          <w:iCs/>
        </w:rPr>
        <w:t>Key], Dim_</w:t>
      </w:r>
      <w:r>
        <w:rPr>
          <w:b/>
          <w:bCs/>
          <w:i/>
          <w:iCs/>
        </w:rPr>
        <w:t>Region</w:t>
      </w:r>
      <w:r w:rsidRPr="00252EEA">
        <w:rPr>
          <w:b/>
          <w:bCs/>
          <w:i/>
          <w:iCs/>
        </w:rPr>
        <w:t>[</w:t>
      </w:r>
      <w:r>
        <w:rPr>
          <w:b/>
          <w:bCs/>
          <w:i/>
          <w:iCs/>
        </w:rPr>
        <w:t>Reg_</w:t>
      </w:r>
      <w:r w:rsidRPr="00252EEA">
        <w:rPr>
          <w:b/>
          <w:bCs/>
          <w:i/>
          <w:iCs/>
        </w:rPr>
        <w:t xml:space="preserve">ID], "") </w:t>
      </w:r>
    </w:p>
    <w:p w14:paraId="678E17F4" w14:textId="77777777" w:rsidR="0016338D" w:rsidRDefault="0016338D" w:rsidP="0016338D">
      <w:pPr>
        <w:numPr>
          <w:ilvl w:val="0"/>
          <w:numId w:val="12"/>
        </w:numPr>
        <w:rPr>
          <w:rFonts w:ascii="Arial" w:hAnsi="Arial" w:cs="Arial"/>
          <w:sz w:val="24"/>
          <w:szCs w:val="24"/>
        </w:rPr>
      </w:pPr>
      <w:r>
        <w:rPr>
          <w:rFonts w:ascii="Arial" w:hAnsi="Arial" w:cs="Arial"/>
          <w:sz w:val="24"/>
          <w:szCs w:val="24"/>
        </w:rPr>
        <w:t xml:space="preserve">Now, the categorial columns, Region, State and Districts are deleted from the </w:t>
      </w:r>
      <w:r w:rsidRPr="001347FC">
        <w:rPr>
          <w:rFonts w:ascii="Arial" w:hAnsi="Arial" w:cs="Arial"/>
          <w:b/>
          <w:bCs/>
          <w:i/>
          <w:iCs/>
          <w:sz w:val="24"/>
          <w:szCs w:val="24"/>
        </w:rPr>
        <w:t>Fact_credit</w:t>
      </w:r>
      <w:r>
        <w:rPr>
          <w:rFonts w:ascii="Arial" w:hAnsi="Arial" w:cs="Arial"/>
          <w:sz w:val="24"/>
          <w:szCs w:val="24"/>
        </w:rPr>
        <w:t xml:space="preserve"> Table.</w:t>
      </w:r>
    </w:p>
    <w:p w14:paraId="5139D849" w14:textId="77777777" w:rsidR="0016338D" w:rsidRPr="003139A5" w:rsidRDefault="0016338D" w:rsidP="0016338D">
      <w:pPr>
        <w:numPr>
          <w:ilvl w:val="0"/>
          <w:numId w:val="12"/>
        </w:numPr>
        <w:rPr>
          <w:rFonts w:ascii="Arial" w:hAnsi="Arial" w:cs="Arial"/>
          <w:sz w:val="24"/>
          <w:szCs w:val="24"/>
        </w:rPr>
      </w:pPr>
      <w:r>
        <w:rPr>
          <w:rFonts w:ascii="Arial" w:hAnsi="Arial" w:cs="Arial"/>
          <w:sz w:val="24"/>
          <w:szCs w:val="24"/>
        </w:rPr>
        <w:t xml:space="preserve">In the same way, </w:t>
      </w:r>
      <w:r w:rsidRPr="001347FC">
        <w:rPr>
          <w:rFonts w:ascii="Arial" w:hAnsi="Arial" w:cs="Arial"/>
          <w:b/>
          <w:bCs/>
          <w:i/>
          <w:iCs/>
          <w:sz w:val="24"/>
          <w:szCs w:val="24"/>
        </w:rPr>
        <w:t>Dim_Bank</w:t>
      </w:r>
      <w:r>
        <w:rPr>
          <w:rFonts w:ascii="Arial" w:hAnsi="Arial" w:cs="Arial"/>
          <w:sz w:val="24"/>
          <w:szCs w:val="24"/>
        </w:rPr>
        <w:t xml:space="preserve"> and </w:t>
      </w:r>
      <w:r w:rsidRPr="001347FC">
        <w:rPr>
          <w:rFonts w:ascii="Arial" w:hAnsi="Arial" w:cs="Arial"/>
          <w:b/>
          <w:bCs/>
          <w:i/>
          <w:iCs/>
          <w:sz w:val="24"/>
          <w:szCs w:val="24"/>
        </w:rPr>
        <w:t>Dim_Sector</w:t>
      </w:r>
      <w:r>
        <w:rPr>
          <w:rFonts w:ascii="Arial" w:hAnsi="Arial" w:cs="Arial"/>
          <w:sz w:val="24"/>
          <w:szCs w:val="24"/>
        </w:rPr>
        <w:t xml:space="preserve"> tables are created and ID and Keys are mapped into the </w:t>
      </w:r>
      <w:r w:rsidRPr="001347FC">
        <w:rPr>
          <w:rFonts w:ascii="Arial" w:hAnsi="Arial" w:cs="Arial"/>
          <w:b/>
          <w:bCs/>
          <w:i/>
          <w:iCs/>
          <w:sz w:val="24"/>
          <w:szCs w:val="24"/>
        </w:rPr>
        <w:t>Fact_Credit</w:t>
      </w:r>
      <w:r>
        <w:rPr>
          <w:rFonts w:ascii="Arial" w:hAnsi="Arial" w:cs="Arial"/>
          <w:sz w:val="24"/>
          <w:szCs w:val="24"/>
        </w:rPr>
        <w:t>.</w:t>
      </w:r>
    </w:p>
    <w:p w14:paraId="332B50E5" w14:textId="77777777" w:rsidR="0016338D" w:rsidRPr="00D55651" w:rsidRDefault="0016338D" w:rsidP="0016338D">
      <w:pPr>
        <w:numPr>
          <w:ilvl w:val="0"/>
          <w:numId w:val="15"/>
        </w:numPr>
        <w:rPr>
          <w:rFonts w:ascii="Arial" w:hAnsi="Arial" w:cs="Arial"/>
          <w:b/>
          <w:i/>
          <w:sz w:val="24"/>
          <w:szCs w:val="24"/>
        </w:rPr>
      </w:pPr>
      <w:r w:rsidRPr="00D55651">
        <w:rPr>
          <w:rFonts w:ascii="Arial" w:hAnsi="Arial" w:cs="Arial"/>
          <w:b/>
          <w:i/>
          <w:sz w:val="24"/>
          <w:szCs w:val="24"/>
        </w:rPr>
        <w:t>Dim_Region</w:t>
      </w:r>
    </w:p>
    <w:tbl>
      <w:tblPr>
        <w:tblStyle w:val="TableGrid"/>
        <w:tblW w:w="0" w:type="auto"/>
        <w:tblInd w:w="1440" w:type="dxa"/>
        <w:tblLook w:val="04A0" w:firstRow="1" w:lastRow="0" w:firstColumn="1" w:lastColumn="0" w:noHBand="0" w:noVBand="1"/>
      </w:tblPr>
      <w:tblGrid>
        <w:gridCol w:w="2666"/>
      </w:tblGrid>
      <w:tr w:rsidR="0016338D" w14:paraId="52C9D1E5" w14:textId="77777777" w:rsidTr="00A07A7C">
        <w:tc>
          <w:tcPr>
            <w:tcW w:w="2666" w:type="dxa"/>
          </w:tcPr>
          <w:p w14:paraId="1FCB3C02" w14:textId="77777777" w:rsidR="0016338D" w:rsidRDefault="0016338D" w:rsidP="00A07A7C">
            <w:pPr>
              <w:rPr>
                <w:rFonts w:ascii="Arial" w:hAnsi="Arial" w:cs="Arial"/>
                <w:sz w:val="24"/>
                <w:szCs w:val="24"/>
              </w:rPr>
            </w:pPr>
            <w:r>
              <w:rPr>
                <w:rFonts w:ascii="Arial" w:hAnsi="Arial" w:cs="Arial"/>
                <w:sz w:val="24"/>
                <w:szCs w:val="24"/>
              </w:rPr>
              <w:t>Reg_ID</w:t>
            </w:r>
          </w:p>
        </w:tc>
      </w:tr>
      <w:tr w:rsidR="0016338D" w14:paraId="6DBBB564" w14:textId="77777777" w:rsidTr="00A07A7C">
        <w:tc>
          <w:tcPr>
            <w:tcW w:w="2666" w:type="dxa"/>
          </w:tcPr>
          <w:p w14:paraId="23862EBC" w14:textId="77777777" w:rsidR="0016338D" w:rsidRDefault="0016338D" w:rsidP="00A07A7C">
            <w:pPr>
              <w:rPr>
                <w:rFonts w:ascii="Arial" w:hAnsi="Arial" w:cs="Arial"/>
                <w:sz w:val="24"/>
                <w:szCs w:val="24"/>
              </w:rPr>
            </w:pPr>
            <w:r>
              <w:rPr>
                <w:rFonts w:ascii="Arial" w:hAnsi="Arial" w:cs="Arial"/>
                <w:sz w:val="24"/>
                <w:szCs w:val="24"/>
              </w:rPr>
              <w:t>Reg_Key</w:t>
            </w:r>
          </w:p>
        </w:tc>
      </w:tr>
      <w:tr w:rsidR="0016338D" w14:paraId="607CE131" w14:textId="77777777" w:rsidTr="00A07A7C">
        <w:tc>
          <w:tcPr>
            <w:tcW w:w="2666" w:type="dxa"/>
          </w:tcPr>
          <w:p w14:paraId="552AA806" w14:textId="77777777" w:rsidR="0016338D" w:rsidRDefault="0016338D" w:rsidP="00A07A7C">
            <w:pPr>
              <w:rPr>
                <w:rFonts w:ascii="Arial" w:hAnsi="Arial" w:cs="Arial"/>
                <w:sz w:val="24"/>
                <w:szCs w:val="24"/>
              </w:rPr>
            </w:pPr>
            <w:r>
              <w:rPr>
                <w:rFonts w:ascii="Arial" w:hAnsi="Arial" w:cs="Arial"/>
                <w:sz w:val="24"/>
                <w:szCs w:val="24"/>
              </w:rPr>
              <w:t>Region</w:t>
            </w:r>
          </w:p>
        </w:tc>
      </w:tr>
      <w:tr w:rsidR="0016338D" w14:paraId="489F4510" w14:textId="77777777" w:rsidTr="00A07A7C">
        <w:tc>
          <w:tcPr>
            <w:tcW w:w="2666" w:type="dxa"/>
          </w:tcPr>
          <w:p w14:paraId="31D80E09" w14:textId="77777777" w:rsidR="0016338D" w:rsidRDefault="0016338D" w:rsidP="00A07A7C">
            <w:pPr>
              <w:rPr>
                <w:rFonts w:ascii="Arial" w:hAnsi="Arial" w:cs="Arial"/>
                <w:sz w:val="24"/>
                <w:szCs w:val="24"/>
              </w:rPr>
            </w:pPr>
            <w:r>
              <w:rPr>
                <w:rFonts w:ascii="Arial" w:hAnsi="Arial" w:cs="Arial"/>
                <w:sz w:val="24"/>
                <w:szCs w:val="24"/>
              </w:rPr>
              <w:lastRenderedPageBreak/>
              <w:t>State</w:t>
            </w:r>
          </w:p>
        </w:tc>
      </w:tr>
      <w:tr w:rsidR="0016338D" w14:paraId="48E849C3" w14:textId="77777777" w:rsidTr="00A07A7C">
        <w:tc>
          <w:tcPr>
            <w:tcW w:w="2666" w:type="dxa"/>
          </w:tcPr>
          <w:p w14:paraId="21294FD4" w14:textId="77777777" w:rsidR="0016338D" w:rsidRDefault="0016338D" w:rsidP="00A07A7C">
            <w:pPr>
              <w:rPr>
                <w:rFonts w:ascii="Arial" w:hAnsi="Arial" w:cs="Arial"/>
                <w:sz w:val="24"/>
                <w:szCs w:val="24"/>
              </w:rPr>
            </w:pPr>
            <w:r>
              <w:rPr>
                <w:rFonts w:ascii="Arial" w:hAnsi="Arial" w:cs="Arial"/>
                <w:sz w:val="24"/>
                <w:szCs w:val="24"/>
              </w:rPr>
              <w:t>District</w:t>
            </w:r>
          </w:p>
        </w:tc>
      </w:tr>
    </w:tbl>
    <w:p w14:paraId="12629E33" w14:textId="77777777" w:rsidR="0016338D" w:rsidRDefault="0016338D" w:rsidP="0016338D">
      <w:pPr>
        <w:ind w:left="1440"/>
        <w:rPr>
          <w:rFonts w:ascii="Arial" w:hAnsi="Arial" w:cs="Arial"/>
          <w:sz w:val="24"/>
          <w:szCs w:val="24"/>
        </w:rPr>
      </w:pPr>
    </w:p>
    <w:p w14:paraId="6C5BD4A1" w14:textId="77777777" w:rsidR="0016338D" w:rsidRPr="00D55651" w:rsidRDefault="0016338D" w:rsidP="0016338D">
      <w:pPr>
        <w:numPr>
          <w:ilvl w:val="0"/>
          <w:numId w:val="15"/>
        </w:numPr>
        <w:rPr>
          <w:rFonts w:ascii="Arial" w:hAnsi="Arial" w:cs="Arial"/>
          <w:b/>
          <w:i/>
          <w:sz w:val="24"/>
          <w:szCs w:val="24"/>
        </w:rPr>
      </w:pPr>
      <w:r w:rsidRPr="00D55651">
        <w:rPr>
          <w:rFonts w:ascii="Arial" w:hAnsi="Arial" w:cs="Arial"/>
          <w:b/>
          <w:i/>
          <w:sz w:val="24"/>
          <w:szCs w:val="24"/>
        </w:rPr>
        <w:t>Dim_Sector</w:t>
      </w:r>
    </w:p>
    <w:tbl>
      <w:tblPr>
        <w:tblStyle w:val="TableGrid"/>
        <w:tblW w:w="0" w:type="auto"/>
        <w:tblInd w:w="1440" w:type="dxa"/>
        <w:tblLook w:val="04A0" w:firstRow="1" w:lastRow="0" w:firstColumn="1" w:lastColumn="0" w:noHBand="0" w:noVBand="1"/>
      </w:tblPr>
      <w:tblGrid>
        <w:gridCol w:w="2666"/>
      </w:tblGrid>
      <w:tr w:rsidR="0016338D" w14:paraId="03F363A5" w14:textId="77777777" w:rsidTr="00A07A7C">
        <w:tc>
          <w:tcPr>
            <w:tcW w:w="2666" w:type="dxa"/>
          </w:tcPr>
          <w:p w14:paraId="19F916FB" w14:textId="77777777" w:rsidR="0016338D" w:rsidRDefault="0016338D" w:rsidP="00A07A7C">
            <w:pPr>
              <w:rPr>
                <w:rFonts w:ascii="Arial" w:hAnsi="Arial" w:cs="Arial"/>
                <w:sz w:val="24"/>
                <w:szCs w:val="24"/>
              </w:rPr>
            </w:pPr>
            <w:r>
              <w:rPr>
                <w:rFonts w:ascii="Arial" w:hAnsi="Arial" w:cs="Arial"/>
                <w:sz w:val="24"/>
                <w:szCs w:val="24"/>
              </w:rPr>
              <w:t>Sector_ID</w:t>
            </w:r>
          </w:p>
        </w:tc>
      </w:tr>
      <w:tr w:rsidR="0016338D" w14:paraId="2B0AE5F4" w14:textId="77777777" w:rsidTr="00A07A7C">
        <w:tc>
          <w:tcPr>
            <w:tcW w:w="2666" w:type="dxa"/>
          </w:tcPr>
          <w:p w14:paraId="2B4256DB" w14:textId="77777777" w:rsidR="0016338D" w:rsidRDefault="0016338D" w:rsidP="00A07A7C">
            <w:pPr>
              <w:rPr>
                <w:rFonts w:ascii="Arial" w:hAnsi="Arial" w:cs="Arial"/>
                <w:sz w:val="24"/>
                <w:szCs w:val="24"/>
              </w:rPr>
            </w:pPr>
            <w:r>
              <w:rPr>
                <w:rFonts w:ascii="Arial" w:hAnsi="Arial" w:cs="Arial"/>
                <w:sz w:val="24"/>
                <w:szCs w:val="24"/>
              </w:rPr>
              <w:t>Sec_Key</w:t>
            </w:r>
          </w:p>
        </w:tc>
      </w:tr>
      <w:tr w:rsidR="0016338D" w14:paraId="002914FE" w14:textId="77777777" w:rsidTr="00A07A7C">
        <w:tc>
          <w:tcPr>
            <w:tcW w:w="2666" w:type="dxa"/>
          </w:tcPr>
          <w:p w14:paraId="5C2485AD" w14:textId="77777777" w:rsidR="0016338D" w:rsidRDefault="0016338D" w:rsidP="00A07A7C">
            <w:pPr>
              <w:rPr>
                <w:rFonts w:ascii="Arial" w:hAnsi="Arial" w:cs="Arial"/>
                <w:sz w:val="24"/>
                <w:szCs w:val="24"/>
              </w:rPr>
            </w:pPr>
            <w:r>
              <w:rPr>
                <w:rFonts w:ascii="Arial" w:hAnsi="Arial" w:cs="Arial"/>
                <w:sz w:val="24"/>
                <w:szCs w:val="24"/>
              </w:rPr>
              <w:t>Sector</w:t>
            </w:r>
          </w:p>
        </w:tc>
      </w:tr>
      <w:tr w:rsidR="0016338D" w14:paraId="66FE31FF" w14:textId="77777777" w:rsidTr="00A07A7C">
        <w:tc>
          <w:tcPr>
            <w:tcW w:w="2666" w:type="dxa"/>
          </w:tcPr>
          <w:p w14:paraId="43171144" w14:textId="77777777" w:rsidR="0016338D" w:rsidRDefault="0016338D" w:rsidP="00A07A7C">
            <w:pPr>
              <w:rPr>
                <w:rFonts w:ascii="Arial" w:hAnsi="Arial" w:cs="Arial"/>
                <w:sz w:val="24"/>
                <w:szCs w:val="24"/>
              </w:rPr>
            </w:pPr>
            <w:r>
              <w:rPr>
                <w:rFonts w:ascii="Arial" w:hAnsi="Arial" w:cs="Arial"/>
                <w:sz w:val="24"/>
                <w:szCs w:val="24"/>
              </w:rPr>
              <w:t>Sector_SubGrouop</w:t>
            </w:r>
          </w:p>
        </w:tc>
      </w:tr>
    </w:tbl>
    <w:p w14:paraId="40D0F920" w14:textId="77777777" w:rsidR="0016338D" w:rsidRDefault="0016338D" w:rsidP="0016338D">
      <w:pPr>
        <w:ind w:left="1440"/>
        <w:rPr>
          <w:rFonts w:ascii="Arial" w:hAnsi="Arial" w:cs="Arial"/>
          <w:b/>
          <w:i/>
          <w:sz w:val="24"/>
          <w:szCs w:val="24"/>
        </w:rPr>
      </w:pPr>
    </w:p>
    <w:p w14:paraId="2BF21346" w14:textId="77777777" w:rsidR="0016338D" w:rsidRPr="00D55651" w:rsidRDefault="0016338D" w:rsidP="0016338D">
      <w:pPr>
        <w:numPr>
          <w:ilvl w:val="0"/>
          <w:numId w:val="15"/>
        </w:numPr>
        <w:rPr>
          <w:rFonts w:ascii="Arial" w:hAnsi="Arial" w:cs="Arial"/>
          <w:b/>
          <w:i/>
          <w:sz w:val="24"/>
          <w:szCs w:val="24"/>
        </w:rPr>
      </w:pPr>
      <w:r w:rsidRPr="00D55651">
        <w:rPr>
          <w:rFonts w:ascii="Arial" w:hAnsi="Arial" w:cs="Arial"/>
          <w:b/>
          <w:i/>
          <w:sz w:val="24"/>
          <w:szCs w:val="24"/>
        </w:rPr>
        <w:t>Dim_Bank</w:t>
      </w:r>
    </w:p>
    <w:tbl>
      <w:tblPr>
        <w:tblStyle w:val="TableGrid"/>
        <w:tblW w:w="0" w:type="auto"/>
        <w:tblInd w:w="1440" w:type="dxa"/>
        <w:tblLook w:val="04A0" w:firstRow="1" w:lastRow="0" w:firstColumn="1" w:lastColumn="0" w:noHBand="0" w:noVBand="1"/>
      </w:tblPr>
      <w:tblGrid>
        <w:gridCol w:w="2666"/>
      </w:tblGrid>
      <w:tr w:rsidR="0016338D" w14:paraId="4BD679CE" w14:textId="77777777" w:rsidTr="00A07A7C">
        <w:tc>
          <w:tcPr>
            <w:tcW w:w="2666" w:type="dxa"/>
          </w:tcPr>
          <w:p w14:paraId="00DA2552" w14:textId="77777777" w:rsidR="0016338D" w:rsidRDefault="0016338D" w:rsidP="00A07A7C">
            <w:pPr>
              <w:rPr>
                <w:rFonts w:ascii="Arial" w:hAnsi="Arial" w:cs="Arial"/>
                <w:sz w:val="24"/>
                <w:szCs w:val="24"/>
              </w:rPr>
            </w:pPr>
            <w:r>
              <w:rPr>
                <w:rFonts w:ascii="Arial" w:hAnsi="Arial" w:cs="Arial"/>
                <w:sz w:val="24"/>
                <w:szCs w:val="24"/>
              </w:rPr>
              <w:t>Bank_ID</w:t>
            </w:r>
          </w:p>
        </w:tc>
      </w:tr>
      <w:tr w:rsidR="0016338D" w14:paraId="1FB112E5" w14:textId="77777777" w:rsidTr="00A07A7C">
        <w:tc>
          <w:tcPr>
            <w:tcW w:w="2666" w:type="dxa"/>
          </w:tcPr>
          <w:p w14:paraId="7E0BA475" w14:textId="77777777" w:rsidR="0016338D" w:rsidRDefault="0016338D" w:rsidP="00A07A7C">
            <w:pPr>
              <w:rPr>
                <w:rFonts w:ascii="Arial" w:hAnsi="Arial" w:cs="Arial"/>
                <w:sz w:val="24"/>
                <w:szCs w:val="24"/>
              </w:rPr>
            </w:pPr>
            <w:r>
              <w:rPr>
                <w:rFonts w:ascii="Arial" w:hAnsi="Arial" w:cs="Arial"/>
                <w:sz w:val="24"/>
                <w:szCs w:val="24"/>
              </w:rPr>
              <w:t>Bank_Key</w:t>
            </w:r>
          </w:p>
        </w:tc>
      </w:tr>
      <w:tr w:rsidR="0016338D" w14:paraId="00188851" w14:textId="77777777" w:rsidTr="00A07A7C">
        <w:tc>
          <w:tcPr>
            <w:tcW w:w="2666" w:type="dxa"/>
          </w:tcPr>
          <w:p w14:paraId="672E8E5E" w14:textId="77777777" w:rsidR="0016338D" w:rsidRDefault="0016338D" w:rsidP="00A07A7C">
            <w:pPr>
              <w:rPr>
                <w:rFonts w:ascii="Arial" w:hAnsi="Arial" w:cs="Arial"/>
                <w:sz w:val="24"/>
                <w:szCs w:val="24"/>
              </w:rPr>
            </w:pPr>
            <w:r>
              <w:rPr>
                <w:rFonts w:ascii="Arial" w:hAnsi="Arial" w:cs="Arial"/>
                <w:sz w:val="24"/>
                <w:szCs w:val="24"/>
              </w:rPr>
              <w:t>Bank_group</w:t>
            </w:r>
          </w:p>
        </w:tc>
      </w:tr>
      <w:tr w:rsidR="0016338D" w14:paraId="474B5C21" w14:textId="77777777" w:rsidTr="00A07A7C">
        <w:tc>
          <w:tcPr>
            <w:tcW w:w="2666" w:type="dxa"/>
          </w:tcPr>
          <w:p w14:paraId="48322893" w14:textId="77777777" w:rsidR="0016338D" w:rsidRDefault="0016338D" w:rsidP="00A07A7C">
            <w:pPr>
              <w:rPr>
                <w:rFonts w:ascii="Arial" w:hAnsi="Arial" w:cs="Arial"/>
                <w:sz w:val="24"/>
                <w:szCs w:val="24"/>
              </w:rPr>
            </w:pPr>
            <w:r>
              <w:rPr>
                <w:rFonts w:ascii="Arial" w:hAnsi="Arial" w:cs="Arial"/>
                <w:sz w:val="24"/>
                <w:szCs w:val="24"/>
              </w:rPr>
              <w:t>Population_Type</w:t>
            </w:r>
          </w:p>
        </w:tc>
      </w:tr>
    </w:tbl>
    <w:p w14:paraId="311A4577" w14:textId="77777777" w:rsidR="0016338D" w:rsidRPr="00D55651" w:rsidRDefault="0016338D" w:rsidP="0016338D">
      <w:pPr>
        <w:rPr>
          <w:rFonts w:ascii="Arial" w:hAnsi="Arial" w:cs="Arial"/>
          <w:sz w:val="24"/>
          <w:szCs w:val="24"/>
        </w:rPr>
      </w:pPr>
      <w:r w:rsidRPr="00D55651">
        <w:rPr>
          <w:rFonts w:ascii="Arial" w:hAnsi="Arial" w:cs="Arial"/>
          <w:b/>
          <w:bCs/>
          <w:sz w:val="24"/>
          <w:szCs w:val="24"/>
        </w:rPr>
        <w:t>Established relationships</w:t>
      </w:r>
      <w:r w:rsidRPr="00D55651">
        <w:rPr>
          <w:rFonts w:ascii="Arial" w:hAnsi="Arial" w:cs="Arial"/>
          <w:sz w:val="24"/>
          <w:szCs w:val="24"/>
        </w:rPr>
        <w:t xml:space="preserve"> between the central </w:t>
      </w:r>
      <w:r w:rsidRPr="00D55651">
        <w:rPr>
          <w:rFonts w:ascii="Arial" w:hAnsi="Arial" w:cs="Arial"/>
          <w:b/>
          <w:bCs/>
          <w:sz w:val="24"/>
          <w:szCs w:val="24"/>
        </w:rPr>
        <w:t>Fact_Credit</w:t>
      </w:r>
      <w:r w:rsidRPr="00D55651">
        <w:rPr>
          <w:rFonts w:ascii="Arial" w:hAnsi="Arial" w:cs="Arial"/>
          <w:sz w:val="24"/>
          <w:szCs w:val="24"/>
        </w:rPr>
        <w:t xml:space="preserve"> table and supporting dimension tables (</w:t>
      </w:r>
      <w:r w:rsidRPr="00D55651">
        <w:rPr>
          <w:rFonts w:ascii="Arial" w:hAnsi="Arial" w:cs="Arial"/>
          <w:b/>
          <w:bCs/>
          <w:sz w:val="24"/>
          <w:szCs w:val="24"/>
        </w:rPr>
        <w:t>Dim_Bank</w:t>
      </w:r>
      <w:r w:rsidRPr="00D55651">
        <w:rPr>
          <w:rFonts w:ascii="Arial" w:hAnsi="Arial" w:cs="Arial"/>
          <w:sz w:val="24"/>
          <w:szCs w:val="24"/>
        </w:rPr>
        <w:t xml:space="preserve">, </w:t>
      </w:r>
      <w:r w:rsidRPr="00D55651">
        <w:rPr>
          <w:rFonts w:ascii="Arial" w:hAnsi="Arial" w:cs="Arial"/>
          <w:b/>
          <w:bCs/>
          <w:sz w:val="24"/>
          <w:szCs w:val="24"/>
        </w:rPr>
        <w:t>Dim_Sector</w:t>
      </w:r>
      <w:r w:rsidRPr="00D55651">
        <w:rPr>
          <w:rFonts w:ascii="Arial" w:hAnsi="Arial" w:cs="Arial"/>
          <w:sz w:val="24"/>
          <w:szCs w:val="24"/>
        </w:rPr>
        <w:t xml:space="preserve">, </w:t>
      </w:r>
      <w:r w:rsidRPr="00D55651">
        <w:rPr>
          <w:rFonts w:ascii="Arial" w:hAnsi="Arial" w:cs="Arial"/>
          <w:b/>
          <w:bCs/>
          <w:sz w:val="24"/>
          <w:szCs w:val="24"/>
        </w:rPr>
        <w:t>Dim_Region</w:t>
      </w:r>
      <w:r w:rsidRPr="00D55651">
        <w:rPr>
          <w:rFonts w:ascii="Arial" w:hAnsi="Arial" w:cs="Arial"/>
          <w:sz w:val="24"/>
          <w:szCs w:val="24"/>
        </w:rPr>
        <w:t>).</w:t>
      </w:r>
    </w:p>
    <w:p w14:paraId="57E7BA26" w14:textId="77777777" w:rsidR="0016338D" w:rsidRPr="001A2FC4" w:rsidRDefault="0016338D" w:rsidP="0016338D">
      <w:pPr>
        <w:numPr>
          <w:ilvl w:val="0"/>
          <w:numId w:val="25"/>
        </w:numPr>
        <w:rPr>
          <w:rFonts w:ascii="Arial" w:hAnsi="Arial" w:cs="Arial"/>
          <w:sz w:val="24"/>
          <w:szCs w:val="24"/>
        </w:rPr>
      </w:pPr>
      <w:r w:rsidRPr="001A2FC4">
        <w:rPr>
          <w:rFonts w:ascii="Arial" w:hAnsi="Arial" w:cs="Arial"/>
          <w:b/>
          <w:bCs/>
          <w:sz w:val="24"/>
          <w:szCs w:val="24"/>
        </w:rPr>
        <w:t>Defined cardinality</w:t>
      </w:r>
      <w:r w:rsidRPr="001A2FC4">
        <w:rPr>
          <w:rFonts w:ascii="Arial" w:hAnsi="Arial" w:cs="Arial"/>
          <w:sz w:val="24"/>
          <w:szCs w:val="24"/>
        </w:rPr>
        <w:t>:</w:t>
      </w:r>
    </w:p>
    <w:p w14:paraId="6FDD2E6D" w14:textId="77777777" w:rsidR="0016338D" w:rsidRPr="001A2FC4" w:rsidRDefault="0016338D" w:rsidP="0016338D">
      <w:pPr>
        <w:numPr>
          <w:ilvl w:val="1"/>
          <w:numId w:val="26"/>
        </w:numPr>
        <w:rPr>
          <w:rFonts w:ascii="Arial" w:hAnsi="Arial" w:cs="Arial"/>
          <w:sz w:val="24"/>
          <w:szCs w:val="24"/>
        </w:rPr>
      </w:pPr>
      <w:r w:rsidRPr="001A2FC4">
        <w:rPr>
          <w:rFonts w:ascii="Arial" w:hAnsi="Arial" w:cs="Arial"/>
          <w:sz w:val="24"/>
          <w:szCs w:val="24"/>
        </w:rPr>
        <w:t>One</w:t>
      </w:r>
      <w:r w:rsidRPr="001A2FC4">
        <w:rPr>
          <w:rFonts w:ascii="Arial" w:hAnsi="Arial" w:cs="Arial"/>
          <w:sz w:val="24"/>
          <w:szCs w:val="24"/>
        </w:rPr>
        <w:noBreakHyphen/>
        <w:t>to</w:t>
      </w:r>
      <w:r w:rsidRPr="001A2FC4">
        <w:rPr>
          <w:rFonts w:ascii="Arial" w:hAnsi="Arial" w:cs="Arial"/>
          <w:sz w:val="24"/>
          <w:szCs w:val="24"/>
        </w:rPr>
        <w:noBreakHyphen/>
        <w:t>many relationships from each dimension table to Fact_Credit.</w:t>
      </w:r>
    </w:p>
    <w:p w14:paraId="134AF7A6" w14:textId="77777777" w:rsidR="0016338D" w:rsidRPr="001A2FC4" w:rsidRDefault="0016338D" w:rsidP="0016338D">
      <w:pPr>
        <w:numPr>
          <w:ilvl w:val="1"/>
          <w:numId w:val="26"/>
        </w:numPr>
        <w:rPr>
          <w:rFonts w:ascii="Arial" w:hAnsi="Arial" w:cs="Arial"/>
          <w:sz w:val="24"/>
          <w:szCs w:val="24"/>
        </w:rPr>
      </w:pPr>
      <w:r w:rsidRPr="001A2FC4">
        <w:rPr>
          <w:rFonts w:ascii="Arial" w:hAnsi="Arial" w:cs="Arial"/>
          <w:sz w:val="24"/>
          <w:szCs w:val="24"/>
        </w:rPr>
        <w:t>Each Bank, Sector, and Region can have multiple credit records in Fact_Credit.</w:t>
      </w:r>
    </w:p>
    <w:p w14:paraId="3E0B4C15" w14:textId="77777777" w:rsidR="0016338D" w:rsidRPr="001A2FC4" w:rsidRDefault="0016338D" w:rsidP="0016338D">
      <w:pPr>
        <w:numPr>
          <w:ilvl w:val="0"/>
          <w:numId w:val="25"/>
        </w:numPr>
        <w:rPr>
          <w:rFonts w:ascii="Arial" w:hAnsi="Arial" w:cs="Arial"/>
          <w:sz w:val="24"/>
          <w:szCs w:val="24"/>
        </w:rPr>
      </w:pPr>
      <w:r w:rsidRPr="001A2FC4">
        <w:rPr>
          <w:rFonts w:ascii="Arial" w:hAnsi="Arial" w:cs="Arial"/>
          <w:b/>
          <w:bCs/>
          <w:sz w:val="24"/>
          <w:szCs w:val="24"/>
        </w:rPr>
        <w:t>Created lookup tables</w:t>
      </w:r>
      <w:r w:rsidRPr="001A2FC4">
        <w:rPr>
          <w:rFonts w:ascii="Arial" w:hAnsi="Arial" w:cs="Arial"/>
          <w:sz w:val="24"/>
          <w:szCs w:val="24"/>
        </w:rPr>
        <w:t xml:space="preserve"> where necessary:</w:t>
      </w:r>
    </w:p>
    <w:p w14:paraId="5272A4FC" w14:textId="77777777" w:rsidR="0016338D" w:rsidRPr="001A2FC4" w:rsidRDefault="0016338D" w:rsidP="0016338D">
      <w:pPr>
        <w:numPr>
          <w:ilvl w:val="1"/>
          <w:numId w:val="26"/>
        </w:numPr>
        <w:rPr>
          <w:rFonts w:ascii="Arial" w:hAnsi="Arial" w:cs="Arial"/>
          <w:sz w:val="24"/>
          <w:szCs w:val="24"/>
        </w:rPr>
      </w:pPr>
      <w:r w:rsidRPr="001A2FC4">
        <w:rPr>
          <w:rFonts w:ascii="Arial" w:hAnsi="Arial" w:cs="Arial"/>
          <w:b/>
          <w:bCs/>
          <w:sz w:val="24"/>
          <w:szCs w:val="24"/>
        </w:rPr>
        <w:t>Dim_Bank</w:t>
      </w:r>
      <w:r w:rsidRPr="001A2FC4">
        <w:rPr>
          <w:rFonts w:ascii="Arial" w:hAnsi="Arial" w:cs="Arial"/>
          <w:sz w:val="24"/>
          <w:szCs w:val="24"/>
        </w:rPr>
        <w:t xml:space="preserve"> provides descriptive attributes such as BankGroup and PopulationType.</w:t>
      </w:r>
    </w:p>
    <w:p w14:paraId="13302BD8" w14:textId="77777777" w:rsidR="0016338D" w:rsidRPr="001A2FC4" w:rsidRDefault="0016338D" w:rsidP="0016338D">
      <w:pPr>
        <w:numPr>
          <w:ilvl w:val="1"/>
          <w:numId w:val="26"/>
        </w:numPr>
        <w:rPr>
          <w:rFonts w:ascii="Arial" w:hAnsi="Arial" w:cs="Arial"/>
          <w:sz w:val="24"/>
          <w:szCs w:val="24"/>
        </w:rPr>
      </w:pPr>
      <w:r w:rsidRPr="001A2FC4">
        <w:rPr>
          <w:rFonts w:ascii="Arial" w:hAnsi="Arial" w:cs="Arial"/>
          <w:b/>
          <w:bCs/>
          <w:sz w:val="24"/>
          <w:szCs w:val="24"/>
        </w:rPr>
        <w:t>Dim_Sector</w:t>
      </w:r>
      <w:r w:rsidRPr="001A2FC4">
        <w:rPr>
          <w:rFonts w:ascii="Arial" w:hAnsi="Arial" w:cs="Arial"/>
          <w:sz w:val="24"/>
          <w:szCs w:val="24"/>
        </w:rPr>
        <w:t xml:space="preserve"> organizes Sector_Group and Sector_SubGroup classifications.</w:t>
      </w:r>
    </w:p>
    <w:p w14:paraId="3A0EBE35" w14:textId="77777777" w:rsidR="0016338D" w:rsidRDefault="0016338D" w:rsidP="0016338D">
      <w:pPr>
        <w:numPr>
          <w:ilvl w:val="1"/>
          <w:numId w:val="26"/>
        </w:numPr>
        <w:rPr>
          <w:rFonts w:ascii="Arial" w:hAnsi="Arial" w:cs="Arial"/>
          <w:sz w:val="24"/>
          <w:szCs w:val="24"/>
        </w:rPr>
      </w:pPr>
      <w:r w:rsidRPr="001A2FC4">
        <w:rPr>
          <w:rFonts w:ascii="Arial" w:hAnsi="Arial" w:cs="Arial"/>
          <w:b/>
          <w:bCs/>
          <w:sz w:val="24"/>
          <w:szCs w:val="24"/>
        </w:rPr>
        <w:t>Dim_Region</w:t>
      </w:r>
      <w:r w:rsidRPr="001A2FC4">
        <w:rPr>
          <w:rFonts w:ascii="Arial" w:hAnsi="Arial" w:cs="Arial"/>
          <w:sz w:val="24"/>
          <w:szCs w:val="24"/>
        </w:rPr>
        <w:t xml:space="preserve"> supplies geographic context (District, Region, State).</w:t>
      </w:r>
    </w:p>
    <w:p w14:paraId="62A3CEB2" w14:textId="77777777" w:rsidR="0016338D" w:rsidRPr="001A2FC4" w:rsidRDefault="0016338D" w:rsidP="0016338D">
      <w:pPr>
        <w:rPr>
          <w:rFonts w:ascii="Arial" w:hAnsi="Arial" w:cs="Arial"/>
          <w:sz w:val="24"/>
          <w:szCs w:val="24"/>
        </w:rPr>
      </w:pPr>
      <w:r w:rsidRPr="00D5110E">
        <w:rPr>
          <w:rFonts w:ascii="Arial" w:hAnsi="Arial" w:cs="Arial"/>
          <w:noProof/>
          <w:sz w:val="24"/>
          <w:szCs w:val="24"/>
        </w:rPr>
        <w:drawing>
          <wp:inline distT="0" distB="0" distL="0" distR="0" wp14:anchorId="4695EEA6" wp14:editId="09E43C88">
            <wp:extent cx="4625340" cy="27692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31378" cy="2772875"/>
                    </a:xfrm>
                    <a:prstGeom prst="rect">
                      <a:avLst/>
                    </a:prstGeom>
                  </pic:spPr>
                </pic:pic>
              </a:graphicData>
            </a:graphic>
          </wp:inline>
        </w:drawing>
      </w:r>
    </w:p>
    <w:p w14:paraId="413D5B87" w14:textId="77777777" w:rsidR="0016338D" w:rsidRPr="001A2FC4" w:rsidRDefault="0016338D" w:rsidP="0016338D">
      <w:pPr>
        <w:numPr>
          <w:ilvl w:val="0"/>
          <w:numId w:val="25"/>
        </w:numPr>
        <w:rPr>
          <w:rFonts w:ascii="Arial" w:hAnsi="Arial" w:cs="Arial"/>
          <w:sz w:val="24"/>
          <w:szCs w:val="24"/>
        </w:rPr>
      </w:pPr>
      <w:r w:rsidRPr="001A2FC4">
        <w:rPr>
          <w:rFonts w:ascii="Arial" w:hAnsi="Arial" w:cs="Arial"/>
          <w:b/>
          <w:bCs/>
          <w:sz w:val="24"/>
          <w:szCs w:val="24"/>
        </w:rPr>
        <w:lastRenderedPageBreak/>
        <w:t>Keys and foreign keys</w:t>
      </w:r>
      <w:r w:rsidRPr="001A2FC4">
        <w:rPr>
          <w:rFonts w:ascii="Arial" w:hAnsi="Arial" w:cs="Arial"/>
          <w:sz w:val="24"/>
          <w:szCs w:val="24"/>
        </w:rPr>
        <w:t>:</w:t>
      </w:r>
    </w:p>
    <w:p w14:paraId="69ED3437" w14:textId="77777777" w:rsidR="0016338D" w:rsidRPr="001A2FC4" w:rsidRDefault="0016338D" w:rsidP="0016338D">
      <w:pPr>
        <w:numPr>
          <w:ilvl w:val="1"/>
          <w:numId w:val="26"/>
        </w:numPr>
        <w:rPr>
          <w:rFonts w:ascii="Arial" w:hAnsi="Arial" w:cs="Arial"/>
          <w:sz w:val="24"/>
          <w:szCs w:val="24"/>
        </w:rPr>
      </w:pPr>
      <w:r w:rsidRPr="001A2FC4">
        <w:rPr>
          <w:rFonts w:ascii="Arial" w:hAnsi="Arial" w:cs="Arial"/>
          <w:sz w:val="24"/>
          <w:szCs w:val="24"/>
        </w:rPr>
        <w:t>Fact_Credit contains Bank_ID, Sec_ID, and Reg_ID as foreign keys.</w:t>
      </w:r>
    </w:p>
    <w:p w14:paraId="4BF90A94" w14:textId="77777777" w:rsidR="0016338D" w:rsidRPr="001A2FC4" w:rsidRDefault="0016338D" w:rsidP="0016338D">
      <w:pPr>
        <w:numPr>
          <w:ilvl w:val="1"/>
          <w:numId w:val="26"/>
        </w:numPr>
        <w:rPr>
          <w:rFonts w:ascii="Arial" w:hAnsi="Arial" w:cs="Arial"/>
          <w:sz w:val="24"/>
          <w:szCs w:val="24"/>
        </w:rPr>
      </w:pPr>
      <w:r w:rsidRPr="001A2FC4">
        <w:rPr>
          <w:rFonts w:ascii="Arial" w:hAnsi="Arial" w:cs="Arial"/>
          <w:sz w:val="24"/>
          <w:szCs w:val="24"/>
        </w:rPr>
        <w:t>Dimension tables hold corresponding primary keys (Bank_Key, Sec_Key, Reg_Key) for referential integrity.</w:t>
      </w:r>
    </w:p>
    <w:p w14:paraId="2C17BF7C" w14:textId="77777777" w:rsidR="0016338D" w:rsidRPr="001A2FC4" w:rsidRDefault="0016338D" w:rsidP="0016338D">
      <w:pPr>
        <w:numPr>
          <w:ilvl w:val="0"/>
          <w:numId w:val="25"/>
        </w:numPr>
        <w:spacing w:line="240" w:lineRule="auto"/>
        <w:rPr>
          <w:rFonts w:ascii="Arial" w:hAnsi="Arial" w:cs="Arial"/>
          <w:sz w:val="24"/>
          <w:szCs w:val="24"/>
        </w:rPr>
      </w:pPr>
      <w:r w:rsidRPr="001A2FC4">
        <w:rPr>
          <w:rFonts w:ascii="Arial" w:hAnsi="Arial" w:cs="Arial"/>
          <w:b/>
          <w:bCs/>
          <w:sz w:val="24"/>
          <w:szCs w:val="24"/>
        </w:rPr>
        <w:t>Schema design</w:t>
      </w:r>
      <w:r w:rsidRPr="001A2FC4">
        <w:rPr>
          <w:rFonts w:ascii="Arial" w:hAnsi="Arial" w:cs="Arial"/>
          <w:sz w:val="24"/>
          <w:szCs w:val="24"/>
        </w:rPr>
        <w:t xml:space="preserve">: Implemented a </w:t>
      </w:r>
      <w:r w:rsidRPr="001A2FC4">
        <w:rPr>
          <w:rFonts w:ascii="Arial" w:hAnsi="Arial" w:cs="Arial"/>
          <w:b/>
          <w:bCs/>
          <w:sz w:val="24"/>
          <w:szCs w:val="24"/>
        </w:rPr>
        <w:t>star schema</w:t>
      </w:r>
      <w:r w:rsidRPr="001A2FC4">
        <w:rPr>
          <w:rFonts w:ascii="Arial" w:hAnsi="Arial" w:cs="Arial"/>
          <w:sz w:val="24"/>
          <w:szCs w:val="24"/>
        </w:rPr>
        <w:t xml:space="preserve"> with Fact_Credit at the center and dimensions surrounding it, enabling efficient slicing, aggregation, and scenario analysis.</w:t>
      </w:r>
    </w:p>
    <w:p w14:paraId="2619CB38" w14:textId="77777777" w:rsidR="0016338D" w:rsidRPr="00A9619C" w:rsidRDefault="0016338D" w:rsidP="0016338D">
      <w:pPr>
        <w:numPr>
          <w:ilvl w:val="0"/>
          <w:numId w:val="25"/>
        </w:numPr>
        <w:rPr>
          <w:rFonts w:ascii="Arial" w:hAnsi="Arial" w:cs="Arial"/>
          <w:sz w:val="24"/>
          <w:szCs w:val="24"/>
        </w:rPr>
      </w:pPr>
      <w:r w:rsidRPr="001A2FC4">
        <w:rPr>
          <w:rFonts w:ascii="Arial" w:hAnsi="Arial" w:cs="Arial"/>
          <w:b/>
          <w:bCs/>
          <w:sz w:val="24"/>
          <w:szCs w:val="24"/>
        </w:rPr>
        <w:t>Purpose</w:t>
      </w:r>
      <w:r w:rsidRPr="001A2FC4">
        <w:rPr>
          <w:rFonts w:ascii="Arial" w:hAnsi="Arial" w:cs="Arial"/>
          <w:sz w:val="24"/>
          <w:szCs w:val="24"/>
        </w:rPr>
        <w:t>: Supports descriptive statistics, scenario modeling, and geographic/institutional breakdowns in PivotTables and Power BI dashboards.</w:t>
      </w:r>
    </w:p>
    <w:p w14:paraId="346905CC" w14:textId="54214AC5" w:rsidR="008F08B9" w:rsidRDefault="008F08B9" w:rsidP="008F08B9">
      <w:pPr>
        <w:pStyle w:val="Heading2"/>
        <w:tabs>
          <w:tab w:val="left" w:pos="263"/>
        </w:tabs>
        <w:spacing w:before="217"/>
        <w:rPr>
          <w:rFonts w:ascii="Arial" w:hAnsi="Arial" w:cs="Arial"/>
          <w:color w:val="0070C0"/>
          <w:sz w:val="24"/>
          <w:szCs w:val="24"/>
        </w:rPr>
      </w:pPr>
      <w:r w:rsidRPr="00851FE7">
        <w:rPr>
          <w:rFonts w:ascii="Arial" w:hAnsi="Arial" w:cs="Arial"/>
          <w:color w:val="0070C0"/>
          <w:sz w:val="24"/>
          <w:szCs w:val="24"/>
        </w:rPr>
        <w:t>8. Analysis and Visualizations</w:t>
      </w:r>
    </w:p>
    <w:p w14:paraId="567138F4" w14:textId="664FA8BB" w:rsidR="00016F53" w:rsidRDefault="00016F53" w:rsidP="00016F53">
      <w:pPr>
        <w:pStyle w:val="Heading2"/>
        <w:tabs>
          <w:tab w:val="left" w:pos="263"/>
        </w:tabs>
        <w:spacing w:before="0" w:line="360" w:lineRule="auto"/>
        <w:ind w:left="283"/>
        <w:rPr>
          <w:rFonts w:ascii="Arial" w:hAnsi="Arial" w:cs="Arial"/>
          <w:color w:val="0070C0"/>
          <w:sz w:val="24"/>
          <w:szCs w:val="24"/>
        </w:rPr>
      </w:pPr>
      <w:r w:rsidRPr="00016F53">
        <w:rPr>
          <w:rFonts w:ascii="Arial" w:hAnsi="Arial" w:cs="Arial"/>
          <w:color w:val="0070C0"/>
          <w:sz w:val="24"/>
          <w:szCs w:val="24"/>
        </w:rPr>
        <w:t xml:space="preserve">8.1. Credit Across States and </w:t>
      </w:r>
      <w:r>
        <w:rPr>
          <w:rFonts w:ascii="Arial" w:hAnsi="Arial" w:cs="Arial"/>
          <w:color w:val="0070C0"/>
          <w:sz w:val="24"/>
          <w:szCs w:val="24"/>
        </w:rPr>
        <w:t>B</w:t>
      </w:r>
      <w:r w:rsidRPr="00016F53">
        <w:rPr>
          <w:rFonts w:ascii="Arial" w:hAnsi="Arial" w:cs="Arial"/>
          <w:color w:val="0070C0"/>
          <w:sz w:val="24"/>
          <w:szCs w:val="24"/>
        </w:rPr>
        <w:t>ank</w:t>
      </w:r>
      <w:r>
        <w:rPr>
          <w:rFonts w:ascii="Arial" w:hAnsi="Arial" w:cs="Arial"/>
          <w:color w:val="0070C0"/>
          <w:sz w:val="24"/>
          <w:szCs w:val="24"/>
        </w:rPr>
        <w:t xml:space="preserve"> </w:t>
      </w:r>
      <w:r w:rsidRPr="00016F53">
        <w:rPr>
          <w:rFonts w:ascii="Arial" w:hAnsi="Arial" w:cs="Arial"/>
          <w:color w:val="0070C0"/>
          <w:sz w:val="24"/>
          <w:szCs w:val="24"/>
        </w:rPr>
        <w:t>Groups</w:t>
      </w:r>
    </w:p>
    <w:p w14:paraId="7C0BEF92" w14:textId="52C28910" w:rsidR="00E27B95" w:rsidRPr="00E27B95" w:rsidRDefault="00E27B95" w:rsidP="00E27B95">
      <w:pPr>
        <w:pStyle w:val="ListParagraph"/>
        <w:numPr>
          <w:ilvl w:val="0"/>
          <w:numId w:val="43"/>
        </w:numPr>
        <w:rPr>
          <w:rFonts w:ascii="Arial" w:hAnsi="Arial" w:cs="Arial"/>
          <w:sz w:val="24"/>
          <w:szCs w:val="24"/>
        </w:rPr>
      </w:pPr>
      <w:r w:rsidRPr="00E27B95">
        <w:rPr>
          <w:rFonts w:ascii="Arial" w:hAnsi="Arial" w:cs="Arial"/>
          <w:sz w:val="24"/>
          <w:szCs w:val="24"/>
        </w:rPr>
        <w:t xml:space="preserve">This visual is showing the credit exposure </w:t>
      </w:r>
      <w:r>
        <w:rPr>
          <w:rFonts w:ascii="Arial" w:hAnsi="Arial" w:cs="Arial"/>
          <w:sz w:val="24"/>
          <w:szCs w:val="24"/>
        </w:rPr>
        <w:t>of bank groups such as Metropolitan, Rural, Urban and Semi-Urban throughout the states of India.</w:t>
      </w:r>
    </w:p>
    <w:p w14:paraId="76CC543A" w14:textId="68753F5B" w:rsidR="00016F53" w:rsidRDefault="00016F53" w:rsidP="00016F53">
      <w:r>
        <w:t xml:space="preserve">             </w:t>
      </w:r>
      <w:r w:rsidRPr="00016F53">
        <w:rPr>
          <w:noProof/>
        </w:rPr>
        <w:drawing>
          <wp:inline distT="0" distB="0" distL="0" distR="0" wp14:anchorId="08B7728D" wp14:editId="3F2F7A74">
            <wp:extent cx="5059680" cy="2944099"/>
            <wp:effectExtent l="0" t="0" r="762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5673" cy="2947586"/>
                    </a:xfrm>
                    <a:prstGeom prst="rect">
                      <a:avLst/>
                    </a:prstGeom>
                  </pic:spPr>
                </pic:pic>
              </a:graphicData>
            </a:graphic>
          </wp:inline>
        </w:drawing>
      </w:r>
    </w:p>
    <w:p w14:paraId="4E8D00BC" w14:textId="029EDB58" w:rsidR="00E27B95" w:rsidRDefault="00E27B95" w:rsidP="00016F53">
      <w:pPr>
        <w:rPr>
          <w:rFonts w:ascii="Arial" w:hAnsi="Arial" w:cs="Arial"/>
          <w:b/>
          <w:i/>
          <w:sz w:val="24"/>
          <w:szCs w:val="24"/>
        </w:rPr>
      </w:pPr>
      <w:r w:rsidRPr="00E27B95">
        <w:rPr>
          <w:rFonts w:ascii="Arial" w:hAnsi="Arial" w:cs="Arial"/>
          <w:b/>
          <w:i/>
          <w:sz w:val="24"/>
          <w:szCs w:val="24"/>
        </w:rPr>
        <w:t>Insights</w:t>
      </w:r>
    </w:p>
    <w:p w14:paraId="792C1C44" w14:textId="77777777" w:rsidR="00E27B95" w:rsidRDefault="00E27B95" w:rsidP="00E27B95">
      <w:pPr>
        <w:pStyle w:val="ListParagraph"/>
        <w:numPr>
          <w:ilvl w:val="0"/>
          <w:numId w:val="44"/>
        </w:numPr>
        <w:spacing w:before="100" w:beforeAutospacing="1" w:after="100" w:afterAutospacing="1" w:line="240" w:lineRule="auto"/>
        <w:rPr>
          <w:rFonts w:ascii="Arial" w:eastAsia="Times New Roman" w:hAnsi="Arial" w:cs="Arial"/>
          <w:sz w:val="24"/>
          <w:szCs w:val="24"/>
          <w:lang w:eastAsia="en-GB"/>
        </w:rPr>
      </w:pPr>
      <w:r w:rsidRPr="00E27B95">
        <w:rPr>
          <w:rFonts w:ascii="Arial" w:eastAsia="Times New Roman" w:hAnsi="Arial" w:cs="Arial"/>
          <w:b/>
          <w:bCs/>
          <w:sz w:val="24"/>
          <w:szCs w:val="24"/>
          <w:lang w:eastAsia="en-GB"/>
        </w:rPr>
        <w:t>Maharashtra (27.7%)</w:t>
      </w:r>
      <w:r w:rsidRPr="00E27B95">
        <w:rPr>
          <w:rFonts w:ascii="Arial" w:eastAsia="Times New Roman" w:hAnsi="Arial" w:cs="Arial"/>
          <w:sz w:val="24"/>
          <w:szCs w:val="24"/>
          <w:lang w:eastAsia="en-GB"/>
        </w:rPr>
        <w:t xml:space="preserve">, </w:t>
      </w:r>
      <w:r w:rsidRPr="00E27B95">
        <w:rPr>
          <w:rFonts w:ascii="Arial" w:eastAsia="Times New Roman" w:hAnsi="Arial" w:cs="Arial"/>
          <w:b/>
          <w:bCs/>
          <w:sz w:val="24"/>
          <w:szCs w:val="24"/>
          <w:lang w:eastAsia="en-GB"/>
        </w:rPr>
        <w:t>Tamil Nadu (10.3%)</w:t>
      </w:r>
      <w:r w:rsidRPr="00E27B95">
        <w:rPr>
          <w:rFonts w:ascii="Arial" w:eastAsia="Times New Roman" w:hAnsi="Arial" w:cs="Arial"/>
          <w:sz w:val="24"/>
          <w:szCs w:val="24"/>
          <w:lang w:eastAsia="en-GB"/>
        </w:rPr>
        <w:t xml:space="preserve">, and </w:t>
      </w:r>
      <w:r w:rsidRPr="00E27B95">
        <w:rPr>
          <w:rFonts w:ascii="Arial" w:eastAsia="Times New Roman" w:hAnsi="Arial" w:cs="Arial"/>
          <w:b/>
          <w:bCs/>
          <w:sz w:val="24"/>
          <w:szCs w:val="24"/>
          <w:lang w:eastAsia="en-GB"/>
        </w:rPr>
        <w:t>Gujarat (7.0%)</w:t>
      </w:r>
      <w:r w:rsidRPr="00E27B95">
        <w:rPr>
          <w:rFonts w:ascii="Arial" w:eastAsia="Times New Roman" w:hAnsi="Arial" w:cs="Arial"/>
          <w:sz w:val="24"/>
          <w:szCs w:val="24"/>
          <w:lang w:eastAsia="en-GB"/>
        </w:rPr>
        <w:t xml:space="preserve"> together account for roughly </w:t>
      </w:r>
      <w:r w:rsidRPr="00E27B95">
        <w:rPr>
          <w:rFonts w:ascii="Arial" w:eastAsia="Times New Roman" w:hAnsi="Arial" w:cs="Arial"/>
          <w:b/>
          <w:bCs/>
          <w:sz w:val="24"/>
          <w:szCs w:val="24"/>
          <w:lang w:eastAsia="en-GB"/>
        </w:rPr>
        <w:t>45%</w:t>
      </w:r>
      <w:r w:rsidRPr="00E27B95">
        <w:rPr>
          <w:rFonts w:ascii="Arial" w:eastAsia="Times New Roman" w:hAnsi="Arial" w:cs="Arial"/>
          <w:sz w:val="24"/>
          <w:szCs w:val="24"/>
          <w:lang w:eastAsia="en-GB"/>
        </w:rPr>
        <w:t xml:space="preserve"> of the portfolio’s recent share</w:t>
      </w:r>
      <w:r w:rsidRPr="00E27B95">
        <w:rPr>
          <w:rFonts w:ascii="Arial" w:eastAsia="Times New Roman" w:hAnsi="Arial" w:cs="Arial"/>
          <w:sz w:val="24"/>
          <w:szCs w:val="24"/>
          <w:lang w:eastAsia="en-GB"/>
        </w:rPr>
        <w:noBreakHyphen/>
        <w:t>of</w:t>
      </w:r>
      <w:r w:rsidRPr="00E27B95">
        <w:rPr>
          <w:rFonts w:ascii="Arial" w:eastAsia="Times New Roman" w:hAnsi="Arial" w:cs="Arial"/>
          <w:sz w:val="24"/>
          <w:szCs w:val="24"/>
          <w:lang w:eastAsia="en-GB"/>
        </w:rPr>
        <w:noBreakHyphen/>
        <w:t xml:space="preserve">change. </w:t>
      </w:r>
    </w:p>
    <w:p w14:paraId="5622D645" w14:textId="7CE757FE" w:rsidR="00E27B95" w:rsidRDefault="00E27B95" w:rsidP="00E27B95">
      <w:pPr>
        <w:pStyle w:val="ListParagraph"/>
        <w:numPr>
          <w:ilvl w:val="0"/>
          <w:numId w:val="44"/>
        </w:numPr>
        <w:spacing w:before="100" w:beforeAutospacing="1" w:after="100" w:afterAutospacing="1" w:line="240" w:lineRule="auto"/>
        <w:rPr>
          <w:rFonts w:ascii="Arial" w:eastAsia="Times New Roman" w:hAnsi="Arial" w:cs="Arial"/>
          <w:sz w:val="24"/>
          <w:szCs w:val="24"/>
          <w:lang w:eastAsia="en-GB"/>
        </w:rPr>
      </w:pPr>
      <w:r w:rsidRPr="00E27B95">
        <w:rPr>
          <w:rFonts w:ascii="Arial" w:eastAsia="Times New Roman" w:hAnsi="Arial" w:cs="Arial"/>
          <w:sz w:val="24"/>
          <w:szCs w:val="24"/>
          <w:lang w:eastAsia="en-GB"/>
        </w:rPr>
        <w:t>Metro and urban centres are the primary drivers of that growth, with metropolitan contributions notably large in Maharashtra, Tamil Nadu, and Uttar Pradesh.</w:t>
      </w:r>
    </w:p>
    <w:p w14:paraId="0C69B457" w14:textId="77777777" w:rsidR="00F70FBA" w:rsidRPr="00F70FBA" w:rsidRDefault="00F70FBA" w:rsidP="00F70FBA">
      <w:pPr>
        <w:pStyle w:val="ListParagraph"/>
        <w:numPr>
          <w:ilvl w:val="0"/>
          <w:numId w:val="44"/>
        </w:numPr>
        <w:spacing w:before="100" w:beforeAutospacing="1" w:after="100" w:afterAutospacing="1" w:line="240" w:lineRule="auto"/>
        <w:rPr>
          <w:rFonts w:ascii="Arial" w:eastAsia="Times New Roman" w:hAnsi="Arial" w:cs="Arial"/>
          <w:sz w:val="24"/>
          <w:szCs w:val="24"/>
          <w:lang w:eastAsia="en-GB"/>
        </w:rPr>
      </w:pPr>
      <w:r w:rsidRPr="00F70FBA">
        <w:rPr>
          <w:rFonts w:ascii="Arial" w:eastAsia="Times New Roman" w:hAnsi="Arial" w:cs="Arial"/>
          <w:sz w:val="24"/>
          <w:szCs w:val="24"/>
          <w:lang w:eastAsia="en-GB"/>
        </w:rPr>
        <w:t xml:space="preserve">The portfolio’s recent growth is </w:t>
      </w:r>
      <w:r w:rsidRPr="00F70FBA">
        <w:rPr>
          <w:rFonts w:ascii="Arial" w:eastAsia="Times New Roman" w:hAnsi="Arial" w:cs="Arial"/>
          <w:b/>
          <w:bCs/>
          <w:sz w:val="24"/>
          <w:szCs w:val="24"/>
          <w:lang w:eastAsia="en-GB"/>
        </w:rPr>
        <w:t>highly concentrated in a few states and metropolitan centers</w:t>
      </w:r>
      <w:r w:rsidRPr="00F70FBA">
        <w:rPr>
          <w:rFonts w:ascii="Arial" w:eastAsia="Times New Roman" w:hAnsi="Arial" w:cs="Arial"/>
          <w:sz w:val="24"/>
          <w:szCs w:val="24"/>
          <w:lang w:eastAsia="en-GB"/>
        </w:rPr>
        <w:t>; immediate priorities are to quantify counterparty concentration within those states, stress</w:t>
      </w:r>
      <w:r w:rsidRPr="00F70FBA">
        <w:rPr>
          <w:rFonts w:ascii="Arial" w:eastAsia="Times New Roman" w:hAnsi="Arial" w:cs="Arial"/>
          <w:sz w:val="24"/>
          <w:szCs w:val="24"/>
          <w:lang w:eastAsia="en-GB"/>
        </w:rPr>
        <w:noBreakHyphen/>
        <w:t>test top contributors, and pursue targeted geographic diversification to reduce systemic vulnerability.</w:t>
      </w:r>
    </w:p>
    <w:p w14:paraId="119F5DFD" w14:textId="77777777" w:rsidR="00F70FBA" w:rsidRDefault="00F70FBA" w:rsidP="00E27B95">
      <w:pPr>
        <w:pStyle w:val="ListParagraph"/>
        <w:spacing w:before="100" w:beforeAutospacing="1" w:after="100" w:afterAutospacing="1" w:line="240" w:lineRule="auto"/>
        <w:rPr>
          <w:rFonts w:ascii="Arial" w:eastAsia="Times New Roman" w:hAnsi="Arial" w:cs="Arial"/>
          <w:sz w:val="24"/>
          <w:szCs w:val="24"/>
          <w:lang w:eastAsia="en-GB"/>
        </w:rPr>
      </w:pPr>
    </w:p>
    <w:p w14:paraId="5F3FA506" w14:textId="001AFF92" w:rsidR="00F70FBA" w:rsidRDefault="00F70FBA" w:rsidP="00F70FBA">
      <w:pPr>
        <w:pStyle w:val="Heading2"/>
        <w:tabs>
          <w:tab w:val="left" w:pos="263"/>
        </w:tabs>
        <w:spacing w:before="0" w:line="360" w:lineRule="auto"/>
        <w:ind w:left="283"/>
        <w:rPr>
          <w:rFonts w:ascii="Arial" w:hAnsi="Arial" w:cs="Arial"/>
          <w:color w:val="0070C0"/>
          <w:sz w:val="24"/>
          <w:szCs w:val="24"/>
        </w:rPr>
      </w:pPr>
      <w:r w:rsidRPr="00016F53">
        <w:rPr>
          <w:rFonts w:ascii="Arial" w:hAnsi="Arial" w:cs="Arial"/>
          <w:color w:val="0070C0"/>
          <w:sz w:val="24"/>
          <w:szCs w:val="24"/>
        </w:rPr>
        <w:lastRenderedPageBreak/>
        <w:t>8.</w:t>
      </w:r>
      <w:r>
        <w:rPr>
          <w:rFonts w:ascii="Arial" w:hAnsi="Arial" w:cs="Arial"/>
          <w:color w:val="0070C0"/>
          <w:sz w:val="24"/>
          <w:szCs w:val="24"/>
        </w:rPr>
        <w:t>2</w:t>
      </w:r>
      <w:r w:rsidRPr="00016F53">
        <w:rPr>
          <w:rFonts w:ascii="Arial" w:hAnsi="Arial" w:cs="Arial"/>
          <w:color w:val="0070C0"/>
          <w:sz w:val="24"/>
          <w:szCs w:val="24"/>
        </w:rPr>
        <w:t xml:space="preserve">. </w:t>
      </w:r>
      <w:r>
        <w:rPr>
          <w:rFonts w:ascii="Arial" w:hAnsi="Arial" w:cs="Arial"/>
          <w:color w:val="0070C0"/>
          <w:sz w:val="24"/>
          <w:szCs w:val="24"/>
        </w:rPr>
        <w:t xml:space="preserve">Lending versus Outstanding over BankGroups </w:t>
      </w:r>
    </w:p>
    <w:p w14:paraId="686FEB1E" w14:textId="708D7C10" w:rsidR="00F70FBA" w:rsidRPr="00F70FBA" w:rsidRDefault="00F70FBA" w:rsidP="00F70FBA">
      <w:pPr>
        <w:pStyle w:val="ListParagraph"/>
        <w:numPr>
          <w:ilvl w:val="0"/>
          <w:numId w:val="45"/>
        </w:numPr>
        <w:rPr>
          <w:rFonts w:ascii="Arial" w:hAnsi="Arial" w:cs="Arial"/>
          <w:sz w:val="24"/>
          <w:szCs w:val="24"/>
        </w:rPr>
      </w:pPr>
      <w:r w:rsidRPr="00F70FBA">
        <w:rPr>
          <w:rFonts w:ascii="Arial" w:hAnsi="Arial" w:cs="Arial"/>
          <w:sz w:val="24"/>
          <w:szCs w:val="24"/>
        </w:rPr>
        <w:t xml:space="preserve">The chart shows </w:t>
      </w:r>
      <w:r w:rsidRPr="00F70FBA">
        <w:rPr>
          <w:rFonts w:ascii="Arial" w:hAnsi="Arial" w:cs="Arial"/>
          <w:b/>
          <w:bCs/>
          <w:sz w:val="24"/>
          <w:szCs w:val="24"/>
        </w:rPr>
        <w:t>identical values for Sum of Outstanding and Sum of Credit Limit</w:t>
      </w:r>
      <w:r w:rsidRPr="00F70FBA">
        <w:rPr>
          <w:rFonts w:ascii="Arial" w:hAnsi="Arial" w:cs="Arial"/>
          <w:sz w:val="24"/>
          <w:szCs w:val="24"/>
        </w:rPr>
        <w:t xml:space="preserve"> across Metropolitan, Urban, Semi Urban, and Rural — Metropolitan dominates (~20M), then Urban (~7M), Semi Urban (~5M), Rural (~3M). That pattern implies either </w:t>
      </w:r>
      <w:r w:rsidRPr="00F70FBA">
        <w:rPr>
          <w:rFonts w:ascii="Arial" w:hAnsi="Arial" w:cs="Arial"/>
          <w:b/>
          <w:bCs/>
          <w:sz w:val="24"/>
          <w:szCs w:val="24"/>
        </w:rPr>
        <w:t>very high utilization (≈100%)</w:t>
      </w:r>
    </w:p>
    <w:p w14:paraId="0DAE74C2" w14:textId="77777777" w:rsidR="00F70FBA" w:rsidRPr="00F70FBA" w:rsidRDefault="00F70FBA" w:rsidP="00F70FBA">
      <w:pPr>
        <w:pStyle w:val="ListParagraph"/>
        <w:rPr>
          <w:rFonts w:ascii="Arial" w:hAnsi="Arial" w:cs="Arial"/>
          <w:sz w:val="24"/>
          <w:szCs w:val="24"/>
        </w:rPr>
      </w:pPr>
    </w:p>
    <w:p w14:paraId="55496BE5" w14:textId="3A2DFF13" w:rsidR="00E27B95" w:rsidRDefault="00F70FBA" w:rsidP="00E27B95">
      <w:pPr>
        <w:pStyle w:val="ListParagraph"/>
        <w:spacing w:before="100" w:beforeAutospacing="1" w:after="100" w:afterAutospacing="1" w:line="240" w:lineRule="auto"/>
        <w:rPr>
          <w:rFonts w:ascii="Arial" w:eastAsia="Times New Roman" w:hAnsi="Arial" w:cs="Arial"/>
          <w:sz w:val="24"/>
          <w:szCs w:val="24"/>
          <w:lang w:eastAsia="en-GB"/>
        </w:rPr>
      </w:pPr>
      <w:r w:rsidRPr="00F70FBA">
        <w:rPr>
          <w:rFonts w:ascii="Arial" w:eastAsia="Times New Roman" w:hAnsi="Arial" w:cs="Arial"/>
          <w:noProof/>
          <w:sz w:val="24"/>
          <w:szCs w:val="24"/>
          <w:lang w:eastAsia="en-GB"/>
        </w:rPr>
        <w:drawing>
          <wp:inline distT="0" distB="0" distL="0" distR="0" wp14:anchorId="6F3B5EA6" wp14:editId="316655A9">
            <wp:extent cx="4312011" cy="1944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16110" cy="1946218"/>
                    </a:xfrm>
                    <a:prstGeom prst="rect">
                      <a:avLst/>
                    </a:prstGeom>
                  </pic:spPr>
                </pic:pic>
              </a:graphicData>
            </a:graphic>
          </wp:inline>
        </w:drawing>
      </w:r>
    </w:p>
    <w:p w14:paraId="446C6DF7" w14:textId="542A3E31" w:rsidR="00F70FBA" w:rsidRPr="00691FAD" w:rsidRDefault="00F70FBA" w:rsidP="00E27B95">
      <w:pPr>
        <w:pStyle w:val="ListParagraph"/>
        <w:spacing w:before="100" w:beforeAutospacing="1" w:after="100" w:afterAutospacing="1" w:line="240" w:lineRule="auto"/>
        <w:rPr>
          <w:rFonts w:ascii="Arial" w:eastAsia="Times New Roman" w:hAnsi="Arial" w:cs="Arial"/>
          <w:b/>
          <w:i/>
          <w:sz w:val="18"/>
          <w:szCs w:val="18"/>
          <w:lang w:eastAsia="en-GB"/>
        </w:rPr>
      </w:pPr>
      <w:r w:rsidRPr="00691FAD">
        <w:rPr>
          <w:rFonts w:ascii="Arial" w:eastAsia="Times New Roman" w:hAnsi="Arial" w:cs="Arial"/>
          <w:b/>
          <w:i/>
          <w:sz w:val="24"/>
          <w:szCs w:val="24"/>
          <w:lang w:eastAsia="en-GB"/>
        </w:rPr>
        <w:t>Insights:</w:t>
      </w:r>
    </w:p>
    <w:p w14:paraId="269AAA1C" w14:textId="448FABDE" w:rsidR="00691FAD" w:rsidRPr="00691FAD" w:rsidRDefault="00691FAD" w:rsidP="00691FAD">
      <w:pPr>
        <w:pStyle w:val="ListParagraph"/>
        <w:numPr>
          <w:ilvl w:val="0"/>
          <w:numId w:val="44"/>
        </w:numPr>
        <w:spacing w:after="0" w:line="240" w:lineRule="auto"/>
        <w:rPr>
          <w:rFonts w:ascii="Arial" w:eastAsia="Times New Roman" w:hAnsi="Arial" w:cs="Arial"/>
          <w:sz w:val="24"/>
          <w:szCs w:val="24"/>
          <w:lang w:eastAsia="en-GB"/>
        </w:rPr>
      </w:pPr>
      <w:r w:rsidRPr="00691FAD">
        <w:rPr>
          <w:rFonts w:ascii="Arial" w:eastAsia="Times New Roman" w:hAnsi="Arial" w:cs="Arial"/>
          <w:b/>
          <w:bCs/>
          <w:sz w:val="24"/>
          <w:szCs w:val="24"/>
          <w:lang w:eastAsia="en-GB"/>
        </w:rPr>
        <w:t>High rollover risk</w:t>
      </w:r>
      <w:r w:rsidRPr="00691FAD">
        <w:rPr>
          <w:rFonts w:ascii="Arial" w:eastAsia="Times New Roman" w:hAnsi="Arial" w:cs="Arial"/>
          <w:sz w:val="24"/>
          <w:szCs w:val="24"/>
          <w:lang w:eastAsia="en-GB"/>
        </w:rPr>
        <w:t xml:space="preserve"> — renewals or limit increases are required to maintain lending; any refusal to renew will immediately reduce active exposure.</w:t>
      </w:r>
    </w:p>
    <w:p w14:paraId="5941BE29" w14:textId="3D564E10" w:rsidR="00691FAD" w:rsidRPr="00691FAD" w:rsidRDefault="00691FAD" w:rsidP="00691FAD">
      <w:pPr>
        <w:pStyle w:val="ListParagraph"/>
        <w:numPr>
          <w:ilvl w:val="0"/>
          <w:numId w:val="44"/>
        </w:numPr>
        <w:spacing w:after="0" w:line="240" w:lineRule="auto"/>
        <w:rPr>
          <w:rFonts w:ascii="Arial" w:eastAsia="Times New Roman" w:hAnsi="Arial" w:cs="Arial"/>
          <w:sz w:val="24"/>
          <w:szCs w:val="24"/>
          <w:lang w:eastAsia="en-GB"/>
        </w:rPr>
      </w:pPr>
      <w:r w:rsidRPr="00691FAD">
        <w:rPr>
          <w:rFonts w:ascii="Arial" w:eastAsia="Times New Roman" w:hAnsi="Arial" w:cs="Arial"/>
          <w:b/>
          <w:bCs/>
          <w:sz w:val="24"/>
          <w:szCs w:val="24"/>
          <w:lang w:eastAsia="en-GB"/>
        </w:rPr>
        <w:t>Concentration</w:t>
      </w:r>
      <w:r w:rsidRPr="00691FAD">
        <w:rPr>
          <w:rFonts w:ascii="Arial" w:eastAsia="Times New Roman" w:hAnsi="Arial" w:cs="Arial"/>
          <w:sz w:val="24"/>
          <w:szCs w:val="24"/>
          <w:lang w:eastAsia="en-GB"/>
        </w:rPr>
        <w:t>: Metropolitan accounts for the majority of portfolio exposure.</w:t>
      </w:r>
    </w:p>
    <w:p w14:paraId="3440E29B" w14:textId="77777777" w:rsidR="00691FAD" w:rsidRPr="00691FAD" w:rsidRDefault="00691FAD" w:rsidP="00691FAD">
      <w:pPr>
        <w:pStyle w:val="ListParagraph"/>
        <w:numPr>
          <w:ilvl w:val="0"/>
          <w:numId w:val="44"/>
        </w:numPr>
        <w:spacing w:after="0" w:line="240" w:lineRule="auto"/>
        <w:rPr>
          <w:rFonts w:ascii="Arial" w:eastAsia="Times New Roman" w:hAnsi="Arial" w:cs="Arial"/>
          <w:sz w:val="24"/>
          <w:szCs w:val="24"/>
          <w:lang w:eastAsia="en-GB"/>
        </w:rPr>
      </w:pPr>
      <w:r w:rsidRPr="00691FAD">
        <w:rPr>
          <w:rFonts w:ascii="Arial" w:eastAsia="Times New Roman" w:hAnsi="Arial" w:cs="Arial"/>
          <w:b/>
          <w:bCs/>
          <w:sz w:val="24"/>
          <w:szCs w:val="24"/>
          <w:lang w:eastAsia="en-GB"/>
        </w:rPr>
        <w:t>Metropolitan concentration</w:t>
      </w:r>
      <w:r w:rsidRPr="00691FAD">
        <w:rPr>
          <w:rFonts w:ascii="Arial" w:eastAsia="Times New Roman" w:hAnsi="Arial" w:cs="Arial"/>
          <w:sz w:val="24"/>
          <w:szCs w:val="24"/>
          <w:lang w:eastAsia="en-GB"/>
        </w:rPr>
        <w:t xml:space="preserve"> — Metropolitan holds the largest exposure (~20M), roughly </w:t>
      </w:r>
      <w:r w:rsidRPr="00691FAD">
        <w:rPr>
          <w:rFonts w:ascii="Arial" w:eastAsia="Times New Roman" w:hAnsi="Arial" w:cs="Arial"/>
          <w:b/>
          <w:bCs/>
          <w:sz w:val="24"/>
          <w:szCs w:val="24"/>
          <w:lang w:eastAsia="en-GB"/>
        </w:rPr>
        <w:t>50%+</w:t>
      </w:r>
      <w:r w:rsidRPr="00691FAD">
        <w:rPr>
          <w:rFonts w:ascii="Arial" w:eastAsia="Times New Roman" w:hAnsi="Arial" w:cs="Arial"/>
          <w:sz w:val="24"/>
          <w:szCs w:val="24"/>
          <w:lang w:eastAsia="en-GB"/>
        </w:rPr>
        <w:t xml:space="preserve"> of total portfolio shown, making the portfolio highly sensitive to metro</w:t>
      </w:r>
      <w:r w:rsidRPr="00691FAD">
        <w:rPr>
          <w:rFonts w:ascii="Arial" w:eastAsia="Times New Roman" w:hAnsi="Arial" w:cs="Arial"/>
          <w:sz w:val="24"/>
          <w:szCs w:val="24"/>
          <w:lang w:eastAsia="en-GB"/>
        </w:rPr>
        <w:noBreakHyphen/>
        <w:t>level shocks.</w:t>
      </w:r>
    </w:p>
    <w:p w14:paraId="1F67BC6B" w14:textId="410D3F44" w:rsidR="00691FAD" w:rsidRDefault="00691FAD" w:rsidP="00691FAD">
      <w:pPr>
        <w:pStyle w:val="ListParagraph"/>
        <w:numPr>
          <w:ilvl w:val="0"/>
          <w:numId w:val="44"/>
        </w:numPr>
        <w:spacing w:after="0" w:line="240" w:lineRule="auto"/>
        <w:rPr>
          <w:rFonts w:ascii="Arial" w:eastAsia="Times New Roman" w:hAnsi="Arial" w:cs="Arial"/>
          <w:sz w:val="24"/>
          <w:szCs w:val="24"/>
          <w:lang w:eastAsia="en-GB"/>
        </w:rPr>
      </w:pPr>
      <w:r w:rsidRPr="00691FAD">
        <w:rPr>
          <w:rFonts w:ascii="Arial" w:eastAsia="Times New Roman" w:hAnsi="Arial" w:cs="Arial"/>
          <w:b/>
          <w:bCs/>
          <w:sz w:val="24"/>
          <w:szCs w:val="24"/>
          <w:lang w:eastAsia="en-GB"/>
        </w:rPr>
        <w:t>Uniformity across segments</w:t>
      </w:r>
      <w:r w:rsidRPr="00691FAD">
        <w:rPr>
          <w:rFonts w:ascii="Arial" w:eastAsia="Times New Roman" w:hAnsi="Arial" w:cs="Arial"/>
          <w:sz w:val="24"/>
          <w:szCs w:val="24"/>
          <w:lang w:eastAsia="en-GB"/>
        </w:rPr>
        <w:t xml:space="preserve"> — Similar utilization across Urban, Semi Urban, and Rural suggests systemic behavior (policy or market) rather than isolated pockets of drawdown.</w:t>
      </w:r>
    </w:p>
    <w:p w14:paraId="2B72CBED" w14:textId="77777777" w:rsidR="007F771A" w:rsidRPr="00691FAD" w:rsidRDefault="007F771A" w:rsidP="007F771A">
      <w:pPr>
        <w:pStyle w:val="ListParagraph"/>
        <w:spacing w:after="0" w:line="240" w:lineRule="auto"/>
        <w:rPr>
          <w:rFonts w:ascii="Arial" w:eastAsia="Times New Roman" w:hAnsi="Arial" w:cs="Arial"/>
          <w:sz w:val="24"/>
          <w:szCs w:val="24"/>
          <w:lang w:eastAsia="en-GB"/>
        </w:rPr>
      </w:pPr>
    </w:p>
    <w:p w14:paraId="50E778FC" w14:textId="2C764E6A" w:rsidR="00691FAD" w:rsidRPr="007F771A" w:rsidRDefault="00691FAD" w:rsidP="007F771A">
      <w:pPr>
        <w:pStyle w:val="Heading2"/>
        <w:tabs>
          <w:tab w:val="left" w:pos="263"/>
        </w:tabs>
        <w:spacing w:before="0" w:line="360" w:lineRule="auto"/>
        <w:ind w:left="283"/>
        <w:rPr>
          <w:rFonts w:ascii="Arial" w:hAnsi="Arial" w:cs="Arial"/>
          <w:color w:val="0070C0"/>
          <w:sz w:val="24"/>
          <w:szCs w:val="24"/>
        </w:rPr>
      </w:pPr>
      <w:r w:rsidRPr="00016F53">
        <w:rPr>
          <w:rFonts w:ascii="Arial" w:hAnsi="Arial" w:cs="Arial"/>
          <w:color w:val="0070C0"/>
          <w:sz w:val="24"/>
          <w:szCs w:val="24"/>
        </w:rPr>
        <w:t>8.</w:t>
      </w:r>
      <w:r>
        <w:rPr>
          <w:rFonts w:ascii="Arial" w:hAnsi="Arial" w:cs="Arial"/>
          <w:color w:val="0070C0"/>
          <w:sz w:val="24"/>
          <w:szCs w:val="24"/>
        </w:rPr>
        <w:t>3</w:t>
      </w:r>
      <w:r w:rsidRPr="00016F53">
        <w:rPr>
          <w:rFonts w:ascii="Arial" w:hAnsi="Arial" w:cs="Arial"/>
          <w:color w:val="0070C0"/>
          <w:sz w:val="24"/>
          <w:szCs w:val="24"/>
        </w:rPr>
        <w:t xml:space="preserve">. </w:t>
      </w:r>
      <w:r>
        <w:rPr>
          <w:rFonts w:ascii="Arial" w:hAnsi="Arial" w:cs="Arial"/>
          <w:color w:val="0070C0"/>
          <w:sz w:val="24"/>
          <w:szCs w:val="24"/>
        </w:rPr>
        <w:t>Credit Exposure and Utilization over Sectors</w:t>
      </w:r>
    </w:p>
    <w:p w14:paraId="667CF202" w14:textId="2206DB40" w:rsidR="00691FAD" w:rsidRDefault="00691FAD" w:rsidP="00691FAD">
      <w:pPr>
        <w:spacing w:after="0" w:line="240" w:lineRule="auto"/>
        <w:jc w:val="left"/>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Pr="00691FAD">
        <w:rPr>
          <w:rFonts w:ascii="Times New Roman" w:eastAsia="Times New Roman" w:hAnsi="Times New Roman" w:cs="Times New Roman"/>
          <w:noProof/>
          <w:sz w:val="24"/>
          <w:szCs w:val="24"/>
          <w:lang w:eastAsia="en-GB"/>
        </w:rPr>
        <w:drawing>
          <wp:inline distT="0" distB="0" distL="0" distR="0" wp14:anchorId="55F2C356" wp14:editId="6331AD4A">
            <wp:extent cx="4594860" cy="22015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08967" cy="2208304"/>
                    </a:xfrm>
                    <a:prstGeom prst="rect">
                      <a:avLst/>
                    </a:prstGeom>
                  </pic:spPr>
                </pic:pic>
              </a:graphicData>
            </a:graphic>
          </wp:inline>
        </w:drawing>
      </w:r>
    </w:p>
    <w:p w14:paraId="7E959F55" w14:textId="6794F288" w:rsidR="007F771A" w:rsidRPr="007F771A" w:rsidRDefault="007F771A" w:rsidP="007F771A">
      <w:pPr>
        <w:pStyle w:val="ListParagraph"/>
        <w:spacing w:before="100" w:beforeAutospacing="1" w:after="100" w:afterAutospacing="1" w:line="240" w:lineRule="auto"/>
        <w:rPr>
          <w:rFonts w:ascii="Arial" w:eastAsia="Times New Roman" w:hAnsi="Arial" w:cs="Arial"/>
          <w:b/>
          <w:i/>
          <w:sz w:val="24"/>
          <w:szCs w:val="24"/>
          <w:lang w:eastAsia="en-GB"/>
        </w:rPr>
      </w:pPr>
      <w:r w:rsidRPr="007F771A">
        <w:rPr>
          <w:rFonts w:ascii="Arial" w:eastAsia="Times New Roman" w:hAnsi="Arial" w:cs="Arial"/>
          <w:b/>
          <w:i/>
          <w:sz w:val="28"/>
          <w:szCs w:val="28"/>
          <w:lang w:eastAsia="en-GB"/>
        </w:rPr>
        <w:t>Insights</w:t>
      </w:r>
      <w:r w:rsidRPr="007F771A">
        <w:rPr>
          <w:rFonts w:ascii="Arial" w:eastAsia="Times New Roman" w:hAnsi="Arial" w:cs="Arial"/>
          <w:b/>
          <w:i/>
          <w:sz w:val="24"/>
          <w:szCs w:val="24"/>
          <w:lang w:eastAsia="en-GB"/>
        </w:rPr>
        <w:t>:</w:t>
      </w:r>
    </w:p>
    <w:p w14:paraId="56600E15" w14:textId="1FC5B3F6" w:rsidR="00691FAD" w:rsidRPr="00995B0D" w:rsidRDefault="00691FAD" w:rsidP="002425C2">
      <w:pPr>
        <w:pStyle w:val="ListParagraph"/>
        <w:numPr>
          <w:ilvl w:val="0"/>
          <w:numId w:val="44"/>
        </w:numPr>
        <w:spacing w:before="100" w:beforeAutospacing="1" w:after="100" w:afterAutospacing="1" w:line="240" w:lineRule="auto"/>
        <w:rPr>
          <w:rFonts w:ascii="Arial" w:eastAsia="Times New Roman" w:hAnsi="Arial" w:cs="Arial"/>
          <w:sz w:val="24"/>
          <w:szCs w:val="24"/>
          <w:lang w:eastAsia="en-GB"/>
        </w:rPr>
      </w:pPr>
      <w:r w:rsidRPr="00995B0D">
        <w:rPr>
          <w:rFonts w:ascii="Arial" w:eastAsia="Times New Roman" w:hAnsi="Arial" w:cs="Arial"/>
          <w:b/>
          <w:bCs/>
          <w:sz w:val="24"/>
          <w:szCs w:val="24"/>
          <w:lang w:eastAsia="en-GB"/>
        </w:rPr>
        <w:t>Industry</w:t>
      </w:r>
      <w:r w:rsidRPr="00995B0D">
        <w:rPr>
          <w:rFonts w:ascii="Arial" w:eastAsia="Times New Roman" w:hAnsi="Arial" w:cs="Arial"/>
          <w:sz w:val="24"/>
          <w:szCs w:val="24"/>
          <w:lang w:eastAsia="en-GB"/>
        </w:rPr>
        <w:t xml:space="preserve"> is the dominant exposure with the largest credit limit and the highest utilization signal;</w:t>
      </w:r>
    </w:p>
    <w:p w14:paraId="0E6C321D" w14:textId="77777777" w:rsidR="00691FAD" w:rsidRPr="00995B0D" w:rsidRDefault="00691FAD" w:rsidP="002425C2">
      <w:pPr>
        <w:pStyle w:val="ListParagraph"/>
        <w:numPr>
          <w:ilvl w:val="0"/>
          <w:numId w:val="44"/>
        </w:numPr>
        <w:spacing w:before="100" w:beforeAutospacing="1" w:after="100" w:afterAutospacing="1" w:line="240" w:lineRule="auto"/>
        <w:rPr>
          <w:rFonts w:ascii="Arial" w:eastAsia="Times New Roman" w:hAnsi="Arial" w:cs="Arial"/>
          <w:sz w:val="24"/>
          <w:szCs w:val="24"/>
          <w:lang w:eastAsia="en-GB"/>
        </w:rPr>
      </w:pPr>
      <w:r w:rsidRPr="00995B0D">
        <w:rPr>
          <w:rFonts w:ascii="Arial" w:eastAsia="Times New Roman" w:hAnsi="Arial" w:cs="Arial"/>
          <w:b/>
          <w:bCs/>
          <w:sz w:val="24"/>
          <w:szCs w:val="24"/>
          <w:lang w:eastAsia="en-GB"/>
        </w:rPr>
        <w:t>Personal Loans</w:t>
      </w:r>
      <w:r w:rsidRPr="00995B0D">
        <w:rPr>
          <w:rFonts w:ascii="Arial" w:eastAsia="Times New Roman" w:hAnsi="Arial" w:cs="Arial"/>
          <w:sz w:val="24"/>
          <w:szCs w:val="24"/>
          <w:lang w:eastAsia="en-GB"/>
        </w:rPr>
        <w:t xml:space="preserve"> and </w:t>
      </w:r>
      <w:r w:rsidRPr="00995B0D">
        <w:rPr>
          <w:rFonts w:ascii="Arial" w:eastAsia="Times New Roman" w:hAnsi="Arial" w:cs="Arial"/>
          <w:b/>
          <w:bCs/>
          <w:sz w:val="24"/>
          <w:szCs w:val="24"/>
          <w:lang w:eastAsia="en-GB"/>
        </w:rPr>
        <w:t>Agriculture</w:t>
      </w:r>
      <w:r w:rsidRPr="00995B0D">
        <w:rPr>
          <w:rFonts w:ascii="Arial" w:eastAsia="Times New Roman" w:hAnsi="Arial" w:cs="Arial"/>
          <w:sz w:val="24"/>
          <w:szCs w:val="24"/>
          <w:lang w:eastAsia="en-GB"/>
        </w:rPr>
        <w:t xml:space="preserve"> show meaningful exposure but much lower utilization in absolute terms. </w:t>
      </w:r>
    </w:p>
    <w:p w14:paraId="3A8E4A27" w14:textId="689C60FC" w:rsidR="00995B0D" w:rsidRPr="00995B0D" w:rsidRDefault="00995B0D" w:rsidP="00995B0D">
      <w:pPr>
        <w:pStyle w:val="ListParagraph"/>
        <w:numPr>
          <w:ilvl w:val="0"/>
          <w:numId w:val="44"/>
        </w:numPr>
        <w:rPr>
          <w:rFonts w:ascii="Arial" w:hAnsi="Arial" w:cs="Arial"/>
          <w:sz w:val="24"/>
          <w:szCs w:val="24"/>
        </w:rPr>
      </w:pPr>
      <w:r w:rsidRPr="00995B0D">
        <w:rPr>
          <w:rFonts w:ascii="Arial" w:hAnsi="Arial" w:cs="Arial"/>
          <w:sz w:val="24"/>
          <w:szCs w:val="24"/>
        </w:rPr>
        <w:lastRenderedPageBreak/>
        <w:t xml:space="preserve">Concentration </w:t>
      </w:r>
      <w:r w:rsidR="00574CE0" w:rsidRPr="00995B0D">
        <w:rPr>
          <w:rFonts w:ascii="Arial" w:hAnsi="Arial" w:cs="Arial"/>
          <w:sz w:val="24"/>
          <w:szCs w:val="24"/>
        </w:rPr>
        <w:t>risk:</w:t>
      </w:r>
      <w:r w:rsidRPr="00995B0D">
        <w:rPr>
          <w:rFonts w:ascii="Arial" w:hAnsi="Arial" w:cs="Arial"/>
          <w:sz w:val="24"/>
          <w:szCs w:val="24"/>
        </w:rPr>
        <w:t xml:space="preserve"> </w:t>
      </w:r>
      <w:r w:rsidRPr="002425C2">
        <w:rPr>
          <w:rFonts w:ascii="Arial" w:hAnsi="Arial" w:cs="Arial"/>
          <w:b/>
          <w:i/>
          <w:sz w:val="24"/>
          <w:szCs w:val="24"/>
        </w:rPr>
        <w:t>Industry and Personal Loans</w:t>
      </w:r>
      <w:r w:rsidRPr="00995B0D">
        <w:rPr>
          <w:rFonts w:ascii="Arial" w:hAnsi="Arial" w:cs="Arial"/>
          <w:sz w:val="24"/>
          <w:szCs w:val="24"/>
        </w:rPr>
        <w:t xml:space="preserve"> together represent the largest share of sanctioned limits; shocks in these sectors will move portfolio metrics materially.</w:t>
      </w:r>
    </w:p>
    <w:p w14:paraId="33C16D0F" w14:textId="7883CD72" w:rsidR="00691FAD" w:rsidRDefault="00995B0D" w:rsidP="00995B0D">
      <w:pPr>
        <w:pStyle w:val="ListParagraph"/>
        <w:numPr>
          <w:ilvl w:val="0"/>
          <w:numId w:val="44"/>
        </w:numPr>
        <w:rPr>
          <w:rFonts w:ascii="Arial" w:hAnsi="Arial" w:cs="Arial"/>
          <w:sz w:val="24"/>
          <w:szCs w:val="24"/>
        </w:rPr>
      </w:pPr>
      <w:r w:rsidRPr="00995B0D">
        <w:rPr>
          <w:rFonts w:ascii="Arial" w:hAnsi="Arial" w:cs="Arial"/>
          <w:sz w:val="24"/>
          <w:szCs w:val="24"/>
        </w:rPr>
        <w:t>Hotspots with limited scale</w:t>
      </w:r>
      <w:r w:rsidR="002425C2">
        <w:rPr>
          <w:rFonts w:ascii="Arial" w:hAnsi="Arial" w:cs="Arial"/>
          <w:sz w:val="24"/>
          <w:szCs w:val="24"/>
        </w:rPr>
        <w:t>:</w:t>
      </w:r>
      <w:r w:rsidRPr="00995B0D">
        <w:rPr>
          <w:rFonts w:ascii="Arial" w:hAnsi="Arial" w:cs="Arial"/>
          <w:sz w:val="24"/>
          <w:szCs w:val="24"/>
        </w:rPr>
        <w:t xml:space="preserve"> </w:t>
      </w:r>
      <w:r w:rsidRPr="002425C2">
        <w:rPr>
          <w:rFonts w:ascii="Arial" w:hAnsi="Arial" w:cs="Arial"/>
          <w:b/>
          <w:i/>
          <w:sz w:val="24"/>
          <w:szCs w:val="24"/>
        </w:rPr>
        <w:t>Professional Services and Transport</w:t>
      </w:r>
      <w:r w:rsidRPr="00995B0D">
        <w:rPr>
          <w:rFonts w:ascii="Arial" w:hAnsi="Arial" w:cs="Arial"/>
          <w:sz w:val="24"/>
          <w:szCs w:val="24"/>
        </w:rPr>
        <w:t xml:space="preserve"> show higher utilization rates despite smaller absolute exposure; these sectors can be early indicators of stress that may escalate if left unchecked.</w:t>
      </w:r>
    </w:p>
    <w:p w14:paraId="52F5EAF7" w14:textId="0E639147" w:rsidR="00995B0D" w:rsidRDefault="00995B0D" w:rsidP="00995B0D">
      <w:pPr>
        <w:pStyle w:val="Heading2"/>
        <w:tabs>
          <w:tab w:val="left" w:pos="263"/>
        </w:tabs>
        <w:spacing w:before="0" w:line="360" w:lineRule="auto"/>
        <w:ind w:left="283"/>
        <w:rPr>
          <w:rFonts w:ascii="Arial" w:hAnsi="Arial" w:cs="Arial"/>
          <w:color w:val="0070C0"/>
          <w:sz w:val="24"/>
          <w:szCs w:val="24"/>
        </w:rPr>
      </w:pPr>
      <w:r w:rsidRPr="00016F53">
        <w:rPr>
          <w:rFonts w:ascii="Arial" w:hAnsi="Arial" w:cs="Arial"/>
          <w:color w:val="0070C0"/>
          <w:sz w:val="24"/>
          <w:szCs w:val="24"/>
        </w:rPr>
        <w:t>8.</w:t>
      </w:r>
      <w:r w:rsidR="007F771A">
        <w:rPr>
          <w:rFonts w:ascii="Arial" w:hAnsi="Arial" w:cs="Arial"/>
          <w:color w:val="0070C0"/>
          <w:sz w:val="24"/>
          <w:szCs w:val="24"/>
        </w:rPr>
        <w:t>4</w:t>
      </w:r>
      <w:r w:rsidRPr="00016F53">
        <w:rPr>
          <w:rFonts w:ascii="Arial" w:hAnsi="Arial" w:cs="Arial"/>
          <w:color w:val="0070C0"/>
          <w:sz w:val="24"/>
          <w:szCs w:val="24"/>
        </w:rPr>
        <w:t xml:space="preserve">. </w:t>
      </w:r>
      <w:r>
        <w:rPr>
          <w:rFonts w:ascii="Arial" w:hAnsi="Arial" w:cs="Arial"/>
          <w:color w:val="0070C0"/>
          <w:sz w:val="24"/>
          <w:szCs w:val="24"/>
        </w:rPr>
        <w:t>Matrix for YoY Credit Percentage</w:t>
      </w:r>
      <w:r w:rsidR="007F771A">
        <w:rPr>
          <w:rFonts w:ascii="Arial" w:hAnsi="Arial" w:cs="Arial"/>
          <w:color w:val="0070C0"/>
          <w:sz w:val="24"/>
          <w:szCs w:val="24"/>
        </w:rPr>
        <w:t xml:space="preserve"> vs Regions/BankGroups</w:t>
      </w:r>
    </w:p>
    <w:p w14:paraId="75777BAB" w14:textId="5BBBEFC5" w:rsidR="00995B0D" w:rsidRDefault="00995B0D" w:rsidP="00995B0D">
      <w:r>
        <w:t xml:space="preserve">                                                             </w:t>
      </w:r>
      <w:r w:rsidRPr="00995B0D">
        <w:rPr>
          <w:noProof/>
        </w:rPr>
        <w:drawing>
          <wp:inline distT="0" distB="0" distL="0" distR="0" wp14:anchorId="4CB74970" wp14:editId="4599BBA8">
            <wp:extent cx="2777717" cy="336042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91769" cy="3377420"/>
                    </a:xfrm>
                    <a:prstGeom prst="rect">
                      <a:avLst/>
                    </a:prstGeom>
                  </pic:spPr>
                </pic:pic>
              </a:graphicData>
            </a:graphic>
          </wp:inline>
        </w:drawing>
      </w:r>
      <w:r w:rsidRPr="00995B0D">
        <w:t xml:space="preserve"> </w:t>
      </w:r>
    </w:p>
    <w:p w14:paraId="74FB0FF2" w14:textId="77777777" w:rsidR="00995B0D" w:rsidRPr="007F771A" w:rsidRDefault="00995B0D" w:rsidP="002425C2">
      <w:pPr>
        <w:pStyle w:val="ListParagraph"/>
        <w:numPr>
          <w:ilvl w:val="0"/>
          <w:numId w:val="46"/>
        </w:numPr>
        <w:spacing w:before="100" w:beforeAutospacing="1" w:after="100" w:afterAutospacing="1" w:line="240" w:lineRule="auto"/>
        <w:rPr>
          <w:rFonts w:ascii="Arial" w:eastAsia="Times New Roman" w:hAnsi="Arial" w:cs="Arial"/>
          <w:sz w:val="24"/>
          <w:szCs w:val="24"/>
          <w:lang w:eastAsia="en-GB"/>
        </w:rPr>
      </w:pPr>
      <w:r w:rsidRPr="007F771A">
        <w:rPr>
          <w:rFonts w:ascii="Arial" w:eastAsia="Times New Roman" w:hAnsi="Arial" w:cs="Arial"/>
          <w:sz w:val="24"/>
          <w:szCs w:val="24"/>
          <w:lang w:eastAsia="en-GB"/>
        </w:rPr>
        <w:t xml:space="preserve">The visual shows </w:t>
      </w:r>
      <w:r w:rsidRPr="007F771A">
        <w:rPr>
          <w:rFonts w:ascii="Arial" w:eastAsia="Times New Roman" w:hAnsi="Arial" w:cs="Arial"/>
          <w:bCs/>
          <w:sz w:val="24"/>
          <w:szCs w:val="24"/>
          <w:lang w:eastAsia="en-GB"/>
        </w:rPr>
        <w:t>broad YoY credit growth across all regions</w:t>
      </w:r>
      <w:r w:rsidRPr="007F771A">
        <w:rPr>
          <w:rFonts w:ascii="Arial" w:eastAsia="Times New Roman" w:hAnsi="Arial" w:cs="Arial"/>
          <w:sz w:val="24"/>
          <w:szCs w:val="24"/>
          <w:lang w:eastAsia="en-GB"/>
        </w:rPr>
        <w:t xml:space="preserve">, with an overall YoY credit increase of </w:t>
      </w:r>
      <w:r w:rsidRPr="007F771A">
        <w:rPr>
          <w:rFonts w:ascii="Arial" w:eastAsia="Times New Roman" w:hAnsi="Arial" w:cs="Arial"/>
          <w:bCs/>
          <w:sz w:val="24"/>
          <w:szCs w:val="24"/>
          <w:lang w:eastAsia="en-GB"/>
        </w:rPr>
        <w:t>13%</w:t>
      </w:r>
      <w:r w:rsidRPr="007F771A">
        <w:rPr>
          <w:rFonts w:ascii="Arial" w:eastAsia="Times New Roman" w:hAnsi="Arial" w:cs="Arial"/>
          <w:sz w:val="24"/>
          <w:szCs w:val="24"/>
          <w:lang w:eastAsia="en-GB"/>
        </w:rPr>
        <w:t xml:space="preserve">. </w:t>
      </w:r>
    </w:p>
    <w:p w14:paraId="3488556C" w14:textId="5F2A1F85" w:rsidR="00995B0D" w:rsidRDefault="00995B0D" w:rsidP="002425C2">
      <w:pPr>
        <w:pStyle w:val="ListParagraph"/>
        <w:numPr>
          <w:ilvl w:val="0"/>
          <w:numId w:val="46"/>
        </w:numPr>
        <w:spacing w:before="100" w:beforeAutospacing="1" w:after="100" w:afterAutospacing="1" w:line="240" w:lineRule="auto"/>
        <w:rPr>
          <w:rFonts w:ascii="Arial" w:eastAsia="Times New Roman" w:hAnsi="Arial" w:cs="Arial"/>
          <w:sz w:val="24"/>
          <w:szCs w:val="24"/>
          <w:lang w:eastAsia="en-GB"/>
        </w:rPr>
      </w:pPr>
      <w:r w:rsidRPr="007F771A">
        <w:rPr>
          <w:rFonts w:ascii="Arial" w:eastAsia="Times New Roman" w:hAnsi="Arial" w:cs="Arial"/>
          <w:sz w:val="24"/>
          <w:szCs w:val="24"/>
          <w:lang w:eastAsia="en-GB"/>
        </w:rPr>
        <w:t>Growth is fairly uniform across metropolitan, urban, semi</w:t>
      </w:r>
      <w:r w:rsidRPr="007F771A">
        <w:rPr>
          <w:rFonts w:ascii="Arial" w:eastAsia="Times New Roman" w:hAnsi="Arial" w:cs="Arial"/>
          <w:sz w:val="24"/>
          <w:szCs w:val="24"/>
          <w:lang w:eastAsia="en-GB"/>
        </w:rPr>
        <w:noBreakHyphen/>
        <w:t xml:space="preserve">urban and rural subregions, but </w:t>
      </w:r>
      <w:r w:rsidRPr="007F771A">
        <w:rPr>
          <w:rFonts w:ascii="Arial" w:eastAsia="Times New Roman" w:hAnsi="Arial" w:cs="Arial"/>
          <w:bCs/>
          <w:sz w:val="24"/>
          <w:szCs w:val="24"/>
          <w:lang w:eastAsia="en-GB"/>
        </w:rPr>
        <w:t>clear hotspots and data gaps</w:t>
      </w:r>
      <w:r w:rsidRPr="007F771A">
        <w:rPr>
          <w:rFonts w:ascii="Arial" w:eastAsia="Times New Roman" w:hAnsi="Arial" w:cs="Arial"/>
          <w:sz w:val="24"/>
          <w:szCs w:val="24"/>
          <w:lang w:eastAsia="en-GB"/>
        </w:rPr>
        <w:t xml:space="preserve"> stand out most notably </w:t>
      </w:r>
      <w:r w:rsidRPr="007F771A">
        <w:rPr>
          <w:rFonts w:ascii="Arial" w:eastAsia="Times New Roman" w:hAnsi="Arial" w:cs="Arial"/>
          <w:bCs/>
          <w:sz w:val="24"/>
          <w:szCs w:val="24"/>
          <w:lang w:eastAsia="en-GB"/>
        </w:rPr>
        <w:t xml:space="preserve">very strong rural growth in the Northern </w:t>
      </w:r>
      <w:r w:rsidR="00FF444E" w:rsidRPr="007F771A">
        <w:rPr>
          <w:rFonts w:ascii="Arial" w:eastAsia="Times New Roman" w:hAnsi="Arial" w:cs="Arial"/>
          <w:bCs/>
          <w:sz w:val="24"/>
          <w:szCs w:val="24"/>
          <w:lang w:eastAsia="en-GB"/>
        </w:rPr>
        <w:t xml:space="preserve">region </w:t>
      </w:r>
      <w:r w:rsidR="00FF444E" w:rsidRPr="007F771A">
        <w:rPr>
          <w:rFonts w:ascii="Arial" w:eastAsia="Times New Roman" w:hAnsi="Arial" w:cs="Arial"/>
          <w:sz w:val="24"/>
          <w:szCs w:val="24"/>
          <w:lang w:eastAsia="en-GB"/>
        </w:rPr>
        <w:t>and</w:t>
      </w:r>
      <w:r w:rsidRPr="007F771A">
        <w:rPr>
          <w:rFonts w:ascii="Arial" w:eastAsia="Times New Roman" w:hAnsi="Arial" w:cs="Arial"/>
          <w:sz w:val="24"/>
          <w:szCs w:val="24"/>
          <w:lang w:eastAsia="en-GB"/>
        </w:rPr>
        <w:t xml:space="preserve"> a missing/zero metropolitan value in the Eastern region.</w:t>
      </w:r>
    </w:p>
    <w:p w14:paraId="54CB947E" w14:textId="63B8A361" w:rsidR="007F771A" w:rsidRDefault="007F771A" w:rsidP="007F771A">
      <w:pPr>
        <w:pStyle w:val="Heading2"/>
        <w:tabs>
          <w:tab w:val="left" w:pos="263"/>
        </w:tabs>
        <w:spacing w:before="0" w:line="360" w:lineRule="auto"/>
        <w:ind w:left="283"/>
        <w:rPr>
          <w:rFonts w:ascii="Arial" w:hAnsi="Arial" w:cs="Arial"/>
          <w:color w:val="0070C0"/>
          <w:sz w:val="24"/>
          <w:szCs w:val="24"/>
        </w:rPr>
      </w:pPr>
      <w:r w:rsidRPr="007F771A">
        <w:rPr>
          <w:rFonts w:ascii="Arial" w:hAnsi="Arial" w:cs="Arial"/>
          <w:color w:val="0070C0"/>
          <w:sz w:val="24"/>
          <w:szCs w:val="24"/>
        </w:rPr>
        <w:lastRenderedPageBreak/>
        <w:t>8.5</w:t>
      </w:r>
      <w:r>
        <w:rPr>
          <w:rFonts w:ascii="Arial" w:hAnsi="Arial" w:cs="Arial"/>
          <w:color w:val="0070C0"/>
          <w:sz w:val="24"/>
          <w:szCs w:val="24"/>
        </w:rPr>
        <w:t xml:space="preserve">. </w:t>
      </w:r>
      <w:r w:rsidRPr="007F771A">
        <w:rPr>
          <w:rFonts w:ascii="Arial" w:hAnsi="Arial" w:cs="Arial"/>
          <w:color w:val="0070C0"/>
          <w:sz w:val="24"/>
          <w:szCs w:val="24"/>
        </w:rPr>
        <w:t>State-Level Account Concentration and Distribution</w:t>
      </w:r>
    </w:p>
    <w:p w14:paraId="5CC5D90E" w14:textId="5F92DB52" w:rsidR="007F771A" w:rsidRPr="007F771A" w:rsidRDefault="002425C2" w:rsidP="007F771A">
      <w:pPr>
        <w:rPr>
          <w:lang w:eastAsia="en-GB"/>
        </w:rPr>
      </w:pPr>
      <w:r>
        <w:rPr>
          <w:lang w:eastAsia="en-GB"/>
        </w:rPr>
        <w:t xml:space="preserve">           </w:t>
      </w:r>
      <w:r w:rsidR="007F771A" w:rsidRPr="007F771A">
        <w:rPr>
          <w:noProof/>
          <w:lang w:eastAsia="en-GB"/>
        </w:rPr>
        <w:drawing>
          <wp:inline distT="0" distB="0" distL="0" distR="0" wp14:anchorId="0CAD9FE2" wp14:editId="2AF9246B">
            <wp:extent cx="5214381" cy="2458720"/>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17405" cy="2460146"/>
                    </a:xfrm>
                    <a:prstGeom prst="rect">
                      <a:avLst/>
                    </a:prstGeom>
                  </pic:spPr>
                </pic:pic>
              </a:graphicData>
            </a:graphic>
          </wp:inline>
        </w:drawing>
      </w:r>
    </w:p>
    <w:p w14:paraId="5C2DEF74" w14:textId="2CB9F2CF" w:rsidR="00FF444E" w:rsidRPr="002425C2" w:rsidRDefault="00FF444E" w:rsidP="002425C2">
      <w:pPr>
        <w:pStyle w:val="ListParagraph"/>
        <w:numPr>
          <w:ilvl w:val="0"/>
          <w:numId w:val="49"/>
        </w:numPr>
        <w:spacing w:after="0" w:line="240" w:lineRule="auto"/>
        <w:ind w:left="700"/>
        <w:rPr>
          <w:rFonts w:ascii="Arial" w:eastAsia="Times New Roman" w:hAnsi="Arial" w:cs="Arial"/>
          <w:sz w:val="24"/>
          <w:szCs w:val="24"/>
          <w:lang w:eastAsia="en-GB"/>
        </w:rPr>
      </w:pPr>
      <w:r w:rsidRPr="002425C2">
        <w:rPr>
          <w:rFonts w:ascii="Arial" w:eastAsia="Times New Roman" w:hAnsi="Arial" w:cs="Arial"/>
          <w:b/>
          <w:bCs/>
          <w:sz w:val="24"/>
          <w:szCs w:val="24"/>
          <w:lang w:eastAsia="en-GB"/>
        </w:rPr>
        <w:t>Top states dominate</w:t>
      </w:r>
      <w:r w:rsidRPr="002425C2">
        <w:rPr>
          <w:rFonts w:ascii="Arial" w:eastAsia="Times New Roman" w:hAnsi="Arial" w:cs="Arial"/>
          <w:sz w:val="24"/>
          <w:szCs w:val="24"/>
          <w:lang w:eastAsia="en-GB"/>
        </w:rPr>
        <w:t xml:space="preserve"> — a small number of states hold the largest share of accounts (one state near 40K), creating geographic concentration in customer base.</w:t>
      </w:r>
    </w:p>
    <w:p w14:paraId="6948265B" w14:textId="77777777" w:rsidR="00FF444E" w:rsidRPr="002425C2" w:rsidRDefault="00FF444E" w:rsidP="002425C2">
      <w:pPr>
        <w:pStyle w:val="ListParagraph"/>
        <w:numPr>
          <w:ilvl w:val="0"/>
          <w:numId w:val="49"/>
        </w:numPr>
        <w:spacing w:before="100" w:beforeAutospacing="1" w:after="100" w:afterAutospacing="1" w:line="240" w:lineRule="auto"/>
        <w:ind w:left="700"/>
        <w:rPr>
          <w:rFonts w:ascii="Arial" w:eastAsia="Times New Roman" w:hAnsi="Arial" w:cs="Arial"/>
          <w:sz w:val="24"/>
          <w:szCs w:val="24"/>
          <w:lang w:eastAsia="en-GB"/>
        </w:rPr>
      </w:pPr>
      <w:r w:rsidRPr="002425C2">
        <w:rPr>
          <w:rFonts w:ascii="Arial" w:eastAsia="Times New Roman" w:hAnsi="Arial" w:cs="Arial"/>
          <w:b/>
          <w:bCs/>
          <w:sz w:val="24"/>
          <w:szCs w:val="24"/>
          <w:lang w:eastAsia="en-GB"/>
        </w:rPr>
        <w:t>Wide dispersion</w:t>
      </w:r>
      <w:r w:rsidRPr="002425C2">
        <w:rPr>
          <w:rFonts w:ascii="Arial" w:eastAsia="Times New Roman" w:hAnsi="Arial" w:cs="Arial"/>
          <w:sz w:val="24"/>
          <w:szCs w:val="24"/>
          <w:lang w:eastAsia="en-GB"/>
        </w:rPr>
        <w:t xml:space="preserve"> — many states have low account counts, indicating uneven market penetration and potential untapped opportunity.</w:t>
      </w:r>
    </w:p>
    <w:p w14:paraId="0FF45C82" w14:textId="77777777" w:rsidR="00FF444E" w:rsidRPr="002425C2" w:rsidRDefault="00FF444E" w:rsidP="002425C2">
      <w:pPr>
        <w:pStyle w:val="ListParagraph"/>
        <w:numPr>
          <w:ilvl w:val="0"/>
          <w:numId w:val="49"/>
        </w:numPr>
        <w:spacing w:before="100" w:beforeAutospacing="1" w:after="100" w:afterAutospacing="1" w:line="240" w:lineRule="auto"/>
        <w:ind w:left="700"/>
        <w:rPr>
          <w:rFonts w:ascii="Arial" w:eastAsia="Times New Roman" w:hAnsi="Arial" w:cs="Arial"/>
          <w:sz w:val="24"/>
          <w:szCs w:val="24"/>
          <w:lang w:eastAsia="en-GB"/>
        </w:rPr>
      </w:pPr>
      <w:r w:rsidRPr="002425C2">
        <w:rPr>
          <w:rFonts w:ascii="Arial" w:eastAsia="Times New Roman" w:hAnsi="Arial" w:cs="Arial"/>
          <w:b/>
          <w:bCs/>
          <w:sz w:val="24"/>
          <w:szCs w:val="24"/>
          <w:lang w:eastAsia="en-GB"/>
        </w:rPr>
        <w:t>Clustered mid</w:t>
      </w:r>
      <w:r w:rsidRPr="002425C2">
        <w:rPr>
          <w:rFonts w:ascii="Arial" w:eastAsia="Times New Roman" w:hAnsi="Arial" w:cs="Arial"/>
          <w:b/>
          <w:bCs/>
          <w:sz w:val="24"/>
          <w:szCs w:val="24"/>
          <w:lang w:eastAsia="en-GB"/>
        </w:rPr>
        <w:noBreakHyphen/>
        <w:t>tier group</w:t>
      </w:r>
      <w:r w:rsidRPr="002425C2">
        <w:rPr>
          <w:rFonts w:ascii="Arial" w:eastAsia="Times New Roman" w:hAnsi="Arial" w:cs="Arial"/>
          <w:sz w:val="24"/>
          <w:szCs w:val="24"/>
          <w:lang w:eastAsia="en-GB"/>
        </w:rPr>
        <w:t xml:space="preserve"> — several states cluster around ~20K accounts, forming a middle band that drives steady volume but not dominance.</w:t>
      </w:r>
    </w:p>
    <w:p w14:paraId="2C8DACD6" w14:textId="77777777" w:rsidR="00FF444E" w:rsidRPr="002425C2" w:rsidRDefault="00FF444E" w:rsidP="002425C2">
      <w:pPr>
        <w:pStyle w:val="ListParagraph"/>
        <w:numPr>
          <w:ilvl w:val="0"/>
          <w:numId w:val="49"/>
        </w:numPr>
        <w:spacing w:before="100" w:beforeAutospacing="1" w:after="100" w:afterAutospacing="1" w:line="240" w:lineRule="auto"/>
        <w:ind w:left="700"/>
        <w:rPr>
          <w:rFonts w:ascii="Arial" w:eastAsia="Times New Roman" w:hAnsi="Arial" w:cs="Arial"/>
          <w:sz w:val="24"/>
          <w:szCs w:val="24"/>
          <w:lang w:eastAsia="en-GB"/>
        </w:rPr>
      </w:pPr>
      <w:r w:rsidRPr="002425C2">
        <w:rPr>
          <w:rFonts w:ascii="Arial" w:eastAsia="Times New Roman" w:hAnsi="Arial" w:cs="Arial"/>
          <w:b/>
          <w:bCs/>
          <w:sz w:val="24"/>
          <w:szCs w:val="24"/>
          <w:lang w:eastAsia="en-GB"/>
        </w:rPr>
        <w:t>Long tail of low</w:t>
      </w:r>
      <w:r w:rsidRPr="002425C2">
        <w:rPr>
          <w:rFonts w:ascii="Arial" w:eastAsia="Times New Roman" w:hAnsi="Arial" w:cs="Arial"/>
          <w:b/>
          <w:bCs/>
          <w:sz w:val="24"/>
          <w:szCs w:val="24"/>
          <w:lang w:eastAsia="en-GB"/>
        </w:rPr>
        <w:noBreakHyphen/>
        <w:t>count states</w:t>
      </w:r>
      <w:r w:rsidRPr="002425C2">
        <w:rPr>
          <w:rFonts w:ascii="Arial" w:eastAsia="Times New Roman" w:hAnsi="Arial" w:cs="Arial"/>
          <w:sz w:val="24"/>
          <w:szCs w:val="24"/>
          <w:lang w:eastAsia="en-GB"/>
        </w:rPr>
        <w:t xml:space="preserve"> — numerous states with very low counts increase operational overhead per account and suggest inefficient coverage.</w:t>
      </w:r>
    </w:p>
    <w:p w14:paraId="522C5DC4" w14:textId="77777777" w:rsidR="00FF444E" w:rsidRDefault="00FF444E" w:rsidP="002425C2">
      <w:pPr>
        <w:pStyle w:val="ListParagraph"/>
        <w:numPr>
          <w:ilvl w:val="0"/>
          <w:numId w:val="49"/>
        </w:numPr>
        <w:spacing w:before="100" w:beforeAutospacing="1" w:after="100" w:afterAutospacing="1" w:line="240" w:lineRule="auto"/>
        <w:ind w:left="700"/>
        <w:rPr>
          <w:rFonts w:ascii="Arial" w:eastAsia="Times New Roman" w:hAnsi="Arial" w:cs="Arial"/>
          <w:sz w:val="24"/>
          <w:szCs w:val="24"/>
          <w:lang w:eastAsia="en-GB"/>
        </w:rPr>
      </w:pPr>
      <w:r w:rsidRPr="002425C2">
        <w:rPr>
          <w:rFonts w:ascii="Arial" w:eastAsia="Times New Roman" w:hAnsi="Arial" w:cs="Arial"/>
          <w:b/>
          <w:bCs/>
          <w:sz w:val="24"/>
          <w:szCs w:val="24"/>
          <w:lang w:eastAsia="en-GB"/>
        </w:rPr>
        <w:t>Outlier risk</w:t>
      </w:r>
      <w:r w:rsidRPr="002425C2">
        <w:rPr>
          <w:rFonts w:ascii="Arial" w:eastAsia="Times New Roman" w:hAnsi="Arial" w:cs="Arial"/>
          <w:sz w:val="24"/>
          <w:szCs w:val="24"/>
          <w:lang w:eastAsia="en-GB"/>
        </w:rPr>
        <w:t xml:space="preserve"> — the single high</w:t>
      </w:r>
      <w:r w:rsidRPr="002425C2">
        <w:rPr>
          <w:rFonts w:ascii="Arial" w:eastAsia="Times New Roman" w:hAnsi="Arial" w:cs="Arial"/>
          <w:sz w:val="24"/>
          <w:szCs w:val="24"/>
          <w:lang w:eastAsia="en-GB"/>
        </w:rPr>
        <w:noBreakHyphen/>
        <w:t>count outlier increases dependency on that state for growth and collections performance.</w:t>
      </w:r>
    </w:p>
    <w:p w14:paraId="4CE4D94B" w14:textId="3126A195" w:rsidR="002425C2" w:rsidRPr="002425C2" w:rsidRDefault="002425C2" w:rsidP="002425C2">
      <w:pPr>
        <w:pStyle w:val="Heading2"/>
        <w:tabs>
          <w:tab w:val="left" w:pos="263"/>
        </w:tabs>
        <w:spacing w:before="0" w:line="360" w:lineRule="auto"/>
        <w:ind w:left="283"/>
        <w:rPr>
          <w:rFonts w:ascii="Arial" w:hAnsi="Arial" w:cs="Arial"/>
          <w:color w:val="0070C0"/>
          <w:sz w:val="24"/>
          <w:szCs w:val="24"/>
        </w:rPr>
      </w:pPr>
      <w:r w:rsidRPr="007F771A">
        <w:rPr>
          <w:rFonts w:ascii="Arial" w:hAnsi="Arial" w:cs="Arial"/>
          <w:color w:val="0070C0"/>
          <w:sz w:val="24"/>
          <w:szCs w:val="24"/>
        </w:rPr>
        <w:t>8.</w:t>
      </w:r>
      <w:r w:rsidR="00D32B30">
        <w:rPr>
          <w:rFonts w:ascii="Arial" w:hAnsi="Arial" w:cs="Arial"/>
          <w:color w:val="0070C0"/>
          <w:sz w:val="24"/>
          <w:szCs w:val="24"/>
        </w:rPr>
        <w:t>6</w:t>
      </w:r>
      <w:r>
        <w:rPr>
          <w:rFonts w:ascii="Arial" w:hAnsi="Arial" w:cs="Arial"/>
          <w:color w:val="0070C0"/>
          <w:sz w:val="24"/>
          <w:szCs w:val="24"/>
        </w:rPr>
        <w:t xml:space="preserve">. </w:t>
      </w:r>
      <w:r w:rsidR="00D32B30">
        <w:rPr>
          <w:rFonts w:ascii="Arial" w:hAnsi="Arial" w:cs="Arial"/>
          <w:color w:val="0070C0"/>
          <w:sz w:val="24"/>
          <w:szCs w:val="24"/>
        </w:rPr>
        <w:t>YoY Credit Growth</w:t>
      </w:r>
    </w:p>
    <w:p w14:paraId="35C24AE5" w14:textId="5B156F95" w:rsidR="00995B0D" w:rsidRDefault="002425C2" w:rsidP="002425C2">
      <w:pPr>
        <w:ind w:left="360"/>
        <w:rPr>
          <w:rFonts w:ascii="Arial" w:hAnsi="Arial" w:cs="Arial"/>
        </w:rPr>
      </w:pPr>
      <w:r w:rsidRPr="002425C2">
        <w:rPr>
          <w:rFonts w:ascii="Arial" w:hAnsi="Arial" w:cs="Arial"/>
          <w:noProof/>
        </w:rPr>
        <w:drawing>
          <wp:inline distT="0" distB="0" distL="0" distR="0" wp14:anchorId="60669C64" wp14:editId="66DB4A5E">
            <wp:extent cx="5731510" cy="293306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933065"/>
                    </a:xfrm>
                    <a:prstGeom prst="rect">
                      <a:avLst/>
                    </a:prstGeom>
                  </pic:spPr>
                </pic:pic>
              </a:graphicData>
            </a:graphic>
          </wp:inline>
        </w:drawing>
      </w:r>
    </w:p>
    <w:p w14:paraId="53B18CA6" w14:textId="79C6C917" w:rsidR="002425C2" w:rsidRDefault="002425C2" w:rsidP="002425C2">
      <w:pPr>
        <w:pStyle w:val="ListParagraph"/>
        <w:numPr>
          <w:ilvl w:val="0"/>
          <w:numId w:val="51"/>
        </w:numPr>
        <w:rPr>
          <w:rFonts w:ascii="Arial" w:hAnsi="Arial" w:cs="Arial"/>
          <w:sz w:val="24"/>
          <w:szCs w:val="24"/>
        </w:rPr>
      </w:pPr>
      <w:r w:rsidRPr="002425C2">
        <w:rPr>
          <w:rFonts w:ascii="Arial" w:hAnsi="Arial" w:cs="Arial"/>
          <w:sz w:val="24"/>
          <w:szCs w:val="24"/>
        </w:rPr>
        <w:t xml:space="preserve">The chart shows Private and Public Sector Banks dominate metropolitan and urban credit, while Public Sector Banks and Regional Rural Banks lead in rural areas. Metropolitan exposure is the largest concentration overall, creating </w:t>
      </w:r>
      <w:r w:rsidRPr="002425C2">
        <w:rPr>
          <w:rFonts w:ascii="Arial" w:hAnsi="Arial" w:cs="Arial"/>
          <w:sz w:val="24"/>
          <w:szCs w:val="24"/>
        </w:rPr>
        <w:lastRenderedPageBreak/>
        <w:t>geographic and counterparty concentration that requires targeted monitoring and stress testing.</w:t>
      </w:r>
    </w:p>
    <w:p w14:paraId="280BC731" w14:textId="6D36B381" w:rsidR="002425C2" w:rsidRPr="002425C2" w:rsidRDefault="002425C2" w:rsidP="002425C2">
      <w:pPr>
        <w:pStyle w:val="ListParagraph"/>
        <w:numPr>
          <w:ilvl w:val="0"/>
          <w:numId w:val="51"/>
        </w:numPr>
        <w:rPr>
          <w:rFonts w:ascii="Arial" w:hAnsi="Arial" w:cs="Arial"/>
          <w:b/>
          <w:i/>
          <w:sz w:val="24"/>
          <w:szCs w:val="24"/>
        </w:rPr>
      </w:pPr>
      <w:r w:rsidRPr="002425C2">
        <w:rPr>
          <w:rFonts w:ascii="Arial" w:hAnsi="Arial" w:cs="Arial"/>
          <w:b/>
          <w:i/>
          <w:sz w:val="24"/>
          <w:szCs w:val="24"/>
        </w:rPr>
        <w:t>Insights:</w:t>
      </w:r>
    </w:p>
    <w:p w14:paraId="7DAC67AB" w14:textId="4AF4398E" w:rsidR="002425C2" w:rsidRPr="002425C2" w:rsidRDefault="002425C2" w:rsidP="002425C2">
      <w:pPr>
        <w:pStyle w:val="ListParagraph"/>
        <w:numPr>
          <w:ilvl w:val="0"/>
          <w:numId w:val="50"/>
        </w:numPr>
        <w:rPr>
          <w:rFonts w:ascii="Arial" w:hAnsi="Arial" w:cs="Arial"/>
          <w:sz w:val="24"/>
          <w:szCs w:val="24"/>
        </w:rPr>
      </w:pPr>
      <w:r w:rsidRPr="002425C2">
        <w:rPr>
          <w:rFonts w:ascii="Arial" w:hAnsi="Arial" w:cs="Arial"/>
          <w:b/>
          <w:bCs/>
          <w:sz w:val="24"/>
          <w:szCs w:val="24"/>
        </w:rPr>
        <w:t>Metropolitan</w:t>
      </w:r>
      <w:r w:rsidRPr="002425C2">
        <w:rPr>
          <w:rFonts w:ascii="Arial" w:hAnsi="Arial" w:cs="Arial"/>
          <w:sz w:val="24"/>
          <w:szCs w:val="24"/>
        </w:rPr>
        <w:t xml:space="preserve">: </w:t>
      </w:r>
      <w:r w:rsidRPr="002425C2">
        <w:rPr>
          <w:rFonts w:ascii="Arial" w:hAnsi="Arial" w:cs="Arial"/>
          <w:b/>
          <w:bCs/>
          <w:sz w:val="24"/>
          <w:szCs w:val="24"/>
        </w:rPr>
        <w:t>Private Sector Banks ≈ 15.7M</w:t>
      </w:r>
      <w:r w:rsidRPr="002425C2">
        <w:rPr>
          <w:rFonts w:ascii="Arial" w:hAnsi="Arial" w:cs="Arial"/>
          <w:sz w:val="24"/>
          <w:szCs w:val="24"/>
        </w:rPr>
        <w:t xml:space="preserve">, </w:t>
      </w:r>
      <w:r w:rsidRPr="002425C2">
        <w:rPr>
          <w:rFonts w:ascii="Arial" w:hAnsi="Arial" w:cs="Arial"/>
          <w:b/>
          <w:bCs/>
          <w:sz w:val="24"/>
          <w:szCs w:val="24"/>
        </w:rPr>
        <w:t>Public Sector Banks ≈ 15.5M</w:t>
      </w:r>
      <w:r>
        <w:rPr>
          <w:rFonts w:ascii="Arial" w:hAnsi="Arial" w:cs="Arial"/>
          <w:sz w:val="24"/>
          <w:szCs w:val="24"/>
        </w:rPr>
        <w:t>. T</w:t>
      </w:r>
      <w:r w:rsidRPr="002425C2">
        <w:rPr>
          <w:rFonts w:ascii="Arial" w:hAnsi="Arial" w:cs="Arial"/>
          <w:sz w:val="24"/>
          <w:szCs w:val="24"/>
        </w:rPr>
        <w:t>hese two bank groups together hold the vast majority of metro credit.</w:t>
      </w:r>
    </w:p>
    <w:p w14:paraId="5A1200FB" w14:textId="77777777" w:rsidR="002425C2" w:rsidRPr="002425C2" w:rsidRDefault="002425C2" w:rsidP="002425C2">
      <w:pPr>
        <w:numPr>
          <w:ilvl w:val="0"/>
          <w:numId w:val="51"/>
        </w:numPr>
        <w:rPr>
          <w:rFonts w:ascii="Arial" w:hAnsi="Arial" w:cs="Arial"/>
          <w:sz w:val="24"/>
          <w:szCs w:val="24"/>
        </w:rPr>
      </w:pPr>
      <w:r w:rsidRPr="002425C2">
        <w:rPr>
          <w:rFonts w:ascii="Arial" w:hAnsi="Arial" w:cs="Arial"/>
          <w:b/>
          <w:bCs/>
          <w:sz w:val="24"/>
          <w:szCs w:val="24"/>
        </w:rPr>
        <w:t>Urban</w:t>
      </w:r>
      <w:r w:rsidRPr="002425C2">
        <w:rPr>
          <w:rFonts w:ascii="Arial" w:hAnsi="Arial" w:cs="Arial"/>
          <w:sz w:val="24"/>
          <w:szCs w:val="24"/>
        </w:rPr>
        <w:t xml:space="preserve">: </w:t>
      </w:r>
      <w:r w:rsidRPr="002425C2">
        <w:rPr>
          <w:rFonts w:ascii="Arial" w:hAnsi="Arial" w:cs="Arial"/>
          <w:b/>
          <w:bCs/>
          <w:sz w:val="24"/>
          <w:szCs w:val="24"/>
        </w:rPr>
        <w:t>Foreign Banks ≈ 5.4M</w:t>
      </w:r>
      <w:r w:rsidRPr="002425C2">
        <w:rPr>
          <w:rFonts w:ascii="Arial" w:hAnsi="Arial" w:cs="Arial"/>
          <w:sz w:val="24"/>
          <w:szCs w:val="24"/>
        </w:rPr>
        <w:t xml:space="preserve">, </w:t>
      </w:r>
      <w:r w:rsidRPr="002425C2">
        <w:rPr>
          <w:rFonts w:ascii="Arial" w:hAnsi="Arial" w:cs="Arial"/>
          <w:b/>
          <w:bCs/>
          <w:sz w:val="24"/>
          <w:szCs w:val="24"/>
        </w:rPr>
        <w:t>Private Sector Banks ≈ 4.6M</w:t>
      </w:r>
      <w:r w:rsidRPr="002425C2">
        <w:rPr>
          <w:rFonts w:ascii="Arial" w:hAnsi="Arial" w:cs="Arial"/>
          <w:sz w:val="24"/>
          <w:szCs w:val="24"/>
        </w:rPr>
        <w:t xml:space="preserve"> — foreign banks have a surprisingly large urban footprint.</w:t>
      </w:r>
    </w:p>
    <w:p w14:paraId="7FBC92BE" w14:textId="436EA745" w:rsidR="002425C2" w:rsidRPr="002425C2" w:rsidRDefault="002425C2" w:rsidP="002425C2">
      <w:pPr>
        <w:numPr>
          <w:ilvl w:val="0"/>
          <w:numId w:val="51"/>
        </w:numPr>
        <w:rPr>
          <w:rFonts w:ascii="Arial" w:hAnsi="Arial" w:cs="Arial"/>
          <w:sz w:val="24"/>
          <w:szCs w:val="24"/>
        </w:rPr>
      </w:pPr>
      <w:r w:rsidRPr="002425C2">
        <w:rPr>
          <w:rFonts w:ascii="Arial" w:hAnsi="Arial" w:cs="Arial"/>
          <w:b/>
          <w:bCs/>
          <w:sz w:val="24"/>
          <w:szCs w:val="24"/>
        </w:rPr>
        <w:t>Semi Urban</w:t>
      </w:r>
      <w:r w:rsidRPr="002425C2">
        <w:rPr>
          <w:rFonts w:ascii="Arial" w:hAnsi="Arial" w:cs="Arial"/>
          <w:sz w:val="24"/>
          <w:szCs w:val="24"/>
        </w:rPr>
        <w:t xml:space="preserve">: </w:t>
      </w:r>
      <w:r w:rsidRPr="002425C2">
        <w:rPr>
          <w:rFonts w:ascii="Arial" w:hAnsi="Arial" w:cs="Arial"/>
          <w:b/>
          <w:bCs/>
          <w:sz w:val="24"/>
          <w:szCs w:val="24"/>
        </w:rPr>
        <w:t>Foreign Banks ≈ 2.6M</w:t>
      </w:r>
      <w:r w:rsidRPr="002425C2">
        <w:rPr>
          <w:rFonts w:ascii="Arial" w:hAnsi="Arial" w:cs="Arial"/>
          <w:sz w:val="24"/>
          <w:szCs w:val="24"/>
        </w:rPr>
        <w:t xml:space="preserve">, </w:t>
      </w:r>
      <w:r w:rsidRPr="002425C2">
        <w:rPr>
          <w:rFonts w:ascii="Arial" w:hAnsi="Arial" w:cs="Arial"/>
          <w:b/>
          <w:bCs/>
          <w:sz w:val="24"/>
          <w:szCs w:val="24"/>
        </w:rPr>
        <w:t>Private Sector Banks ≈ 3.8M</w:t>
      </w:r>
      <w:r>
        <w:rPr>
          <w:rFonts w:ascii="Arial" w:hAnsi="Arial" w:cs="Arial"/>
          <w:b/>
          <w:bCs/>
          <w:sz w:val="24"/>
          <w:szCs w:val="24"/>
        </w:rPr>
        <w:t>.</w:t>
      </w:r>
      <w:r w:rsidRPr="002425C2">
        <w:rPr>
          <w:rFonts w:ascii="Arial" w:hAnsi="Arial" w:cs="Arial"/>
          <w:sz w:val="24"/>
          <w:szCs w:val="24"/>
        </w:rPr>
        <w:t xml:space="preserve"> semi</w:t>
      </w:r>
      <w:r w:rsidRPr="002425C2">
        <w:rPr>
          <w:rFonts w:ascii="Arial" w:hAnsi="Arial" w:cs="Arial"/>
          <w:sz w:val="24"/>
          <w:szCs w:val="24"/>
        </w:rPr>
        <w:noBreakHyphen/>
        <w:t>urban lending is split between foreign and private banks.</w:t>
      </w:r>
    </w:p>
    <w:p w14:paraId="00568301" w14:textId="1BC9234D" w:rsidR="002425C2" w:rsidRPr="002425C2" w:rsidRDefault="002425C2" w:rsidP="002425C2">
      <w:pPr>
        <w:numPr>
          <w:ilvl w:val="0"/>
          <w:numId w:val="51"/>
        </w:numPr>
        <w:rPr>
          <w:rFonts w:ascii="Arial" w:hAnsi="Arial" w:cs="Arial"/>
          <w:sz w:val="24"/>
          <w:szCs w:val="24"/>
        </w:rPr>
      </w:pPr>
      <w:r w:rsidRPr="002425C2">
        <w:rPr>
          <w:rFonts w:ascii="Arial" w:hAnsi="Arial" w:cs="Arial"/>
          <w:b/>
          <w:bCs/>
          <w:sz w:val="24"/>
          <w:szCs w:val="24"/>
        </w:rPr>
        <w:t>Rural</w:t>
      </w:r>
      <w:r w:rsidRPr="002425C2">
        <w:rPr>
          <w:rFonts w:ascii="Arial" w:hAnsi="Arial" w:cs="Arial"/>
          <w:sz w:val="24"/>
          <w:szCs w:val="24"/>
        </w:rPr>
        <w:t xml:space="preserve">: </w:t>
      </w:r>
      <w:r w:rsidRPr="002425C2">
        <w:rPr>
          <w:rFonts w:ascii="Arial" w:hAnsi="Arial" w:cs="Arial"/>
          <w:b/>
          <w:bCs/>
          <w:sz w:val="24"/>
          <w:szCs w:val="24"/>
        </w:rPr>
        <w:t>Public Sector Banks ≈ 3.0M</w:t>
      </w:r>
      <w:r w:rsidRPr="002425C2">
        <w:rPr>
          <w:rFonts w:ascii="Arial" w:hAnsi="Arial" w:cs="Arial"/>
          <w:sz w:val="24"/>
          <w:szCs w:val="24"/>
        </w:rPr>
        <w:t xml:space="preserve">, </w:t>
      </w:r>
      <w:r w:rsidRPr="002425C2">
        <w:rPr>
          <w:rFonts w:ascii="Arial" w:hAnsi="Arial" w:cs="Arial"/>
          <w:b/>
          <w:bCs/>
          <w:sz w:val="24"/>
          <w:szCs w:val="24"/>
        </w:rPr>
        <w:t>Regional Rural Banks ≈ 0.8M</w:t>
      </w:r>
      <w:r>
        <w:rPr>
          <w:rFonts w:ascii="Arial" w:hAnsi="Arial" w:cs="Arial"/>
          <w:sz w:val="24"/>
          <w:szCs w:val="24"/>
        </w:rPr>
        <w:t>. R</w:t>
      </w:r>
      <w:r w:rsidRPr="002425C2">
        <w:rPr>
          <w:rFonts w:ascii="Arial" w:hAnsi="Arial" w:cs="Arial"/>
          <w:sz w:val="24"/>
          <w:szCs w:val="24"/>
        </w:rPr>
        <w:t>ural credit is concentrated in public and regional rural banks.</w:t>
      </w:r>
    </w:p>
    <w:p w14:paraId="11EC7A22" w14:textId="77777777" w:rsidR="002425C2" w:rsidRDefault="002425C2" w:rsidP="002425C2">
      <w:pPr>
        <w:numPr>
          <w:ilvl w:val="0"/>
          <w:numId w:val="51"/>
        </w:numPr>
        <w:rPr>
          <w:rFonts w:ascii="Arial" w:hAnsi="Arial" w:cs="Arial"/>
          <w:sz w:val="24"/>
          <w:szCs w:val="24"/>
        </w:rPr>
      </w:pPr>
      <w:r w:rsidRPr="002425C2">
        <w:rPr>
          <w:rFonts w:ascii="Arial" w:hAnsi="Arial" w:cs="Arial"/>
          <w:b/>
          <w:bCs/>
          <w:sz w:val="24"/>
          <w:szCs w:val="24"/>
        </w:rPr>
        <w:t>Small Finance Banks</w:t>
      </w:r>
      <w:r w:rsidRPr="002425C2">
        <w:rPr>
          <w:rFonts w:ascii="Arial" w:hAnsi="Arial" w:cs="Arial"/>
          <w:sz w:val="24"/>
          <w:szCs w:val="24"/>
        </w:rPr>
        <w:t xml:space="preserve"> show minimal aggregate limits across all population types (≤0.2M), indicating limited scale in this dataset.</w:t>
      </w:r>
    </w:p>
    <w:p w14:paraId="30DFD54B" w14:textId="49D29D10" w:rsidR="00D32B30" w:rsidRDefault="00D32B30" w:rsidP="00D32B30">
      <w:pPr>
        <w:numPr>
          <w:ilvl w:val="0"/>
          <w:numId w:val="51"/>
        </w:numPr>
        <w:rPr>
          <w:rFonts w:ascii="Arial" w:hAnsi="Arial" w:cs="Arial"/>
          <w:sz w:val="24"/>
          <w:szCs w:val="24"/>
        </w:rPr>
      </w:pPr>
      <w:r w:rsidRPr="00D32B30">
        <w:rPr>
          <w:rFonts w:ascii="Arial" w:hAnsi="Arial" w:cs="Arial"/>
          <w:b/>
          <w:bCs/>
          <w:sz w:val="24"/>
          <w:szCs w:val="24"/>
        </w:rPr>
        <w:t>Diversify origination</w:t>
      </w:r>
      <w:r w:rsidRPr="00D32B30">
        <w:rPr>
          <w:rFonts w:ascii="Arial" w:hAnsi="Arial" w:cs="Arial"/>
          <w:sz w:val="24"/>
          <w:szCs w:val="24"/>
        </w:rPr>
        <w:t xml:space="preserve"> into semi</w:t>
      </w:r>
      <w:r w:rsidRPr="00D32B30">
        <w:rPr>
          <w:rFonts w:ascii="Arial" w:hAnsi="Arial" w:cs="Arial"/>
          <w:sz w:val="24"/>
          <w:szCs w:val="24"/>
        </w:rPr>
        <w:noBreakHyphen/>
        <w:t>urban and rural segments where credit per bank is lower, using digital channels or partnerships to scale cost</w:t>
      </w:r>
      <w:r w:rsidRPr="00D32B30">
        <w:rPr>
          <w:rFonts w:ascii="Arial" w:hAnsi="Arial" w:cs="Arial"/>
          <w:sz w:val="24"/>
          <w:szCs w:val="24"/>
        </w:rPr>
        <w:noBreakHyphen/>
        <w:t>effectively.</w:t>
      </w:r>
    </w:p>
    <w:p w14:paraId="6D051163" w14:textId="7E93C7AC" w:rsidR="00D32B30" w:rsidRPr="00D32B30" w:rsidRDefault="00D32B30" w:rsidP="00D32B30">
      <w:pPr>
        <w:pStyle w:val="Heading2"/>
        <w:tabs>
          <w:tab w:val="left" w:pos="263"/>
        </w:tabs>
        <w:spacing w:before="0" w:line="360" w:lineRule="auto"/>
        <w:ind w:left="283"/>
        <w:rPr>
          <w:rFonts w:ascii="Arial" w:hAnsi="Arial" w:cs="Arial"/>
          <w:color w:val="0070C0"/>
          <w:sz w:val="24"/>
          <w:szCs w:val="24"/>
        </w:rPr>
      </w:pPr>
      <w:r w:rsidRPr="007F771A">
        <w:rPr>
          <w:rFonts w:ascii="Arial" w:hAnsi="Arial" w:cs="Arial"/>
          <w:color w:val="0070C0"/>
          <w:sz w:val="24"/>
          <w:szCs w:val="24"/>
        </w:rPr>
        <w:t>8.</w:t>
      </w:r>
      <w:r>
        <w:rPr>
          <w:rFonts w:ascii="Arial" w:hAnsi="Arial" w:cs="Arial"/>
          <w:color w:val="0070C0"/>
          <w:sz w:val="24"/>
          <w:szCs w:val="24"/>
        </w:rPr>
        <w:t xml:space="preserve">6. HHI </w:t>
      </w:r>
      <w:r w:rsidRPr="00D32B30">
        <w:rPr>
          <w:rFonts w:ascii="Arial" w:hAnsi="Arial" w:cs="Arial"/>
          <w:color w:val="0070C0"/>
        </w:rPr>
        <w:t>(</w:t>
      </w:r>
      <w:r w:rsidRPr="00ED7C82">
        <w:rPr>
          <w:rFonts w:ascii="Arial" w:hAnsi="Arial" w:cs="Arial"/>
          <w:iCs/>
          <w:color w:val="0070C0"/>
        </w:rPr>
        <w:t>Herfindahl–Hirschman Index</w:t>
      </w:r>
      <w:r w:rsidRPr="00D32B30">
        <w:rPr>
          <w:rFonts w:ascii="Arial" w:hAnsi="Arial" w:cs="Arial"/>
          <w:iCs/>
          <w:color w:val="0070C0"/>
        </w:rPr>
        <w:t>)</w:t>
      </w:r>
    </w:p>
    <w:p w14:paraId="796749D1" w14:textId="50582C7E" w:rsidR="002425C2" w:rsidRPr="002425C2" w:rsidRDefault="00D32B30" w:rsidP="00D32B30">
      <w:pPr>
        <w:ind w:left="720"/>
        <w:rPr>
          <w:rFonts w:ascii="Arial" w:hAnsi="Arial" w:cs="Arial"/>
          <w:sz w:val="24"/>
          <w:szCs w:val="24"/>
        </w:rPr>
      </w:pPr>
      <w:r w:rsidRPr="00D32B30">
        <w:rPr>
          <w:rFonts w:ascii="Arial" w:hAnsi="Arial" w:cs="Arial"/>
          <w:noProof/>
          <w:sz w:val="24"/>
          <w:szCs w:val="24"/>
        </w:rPr>
        <w:drawing>
          <wp:inline distT="0" distB="0" distL="0" distR="0" wp14:anchorId="544099FE" wp14:editId="20D840DE">
            <wp:extent cx="4533900" cy="2659258"/>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49350" cy="2668320"/>
                    </a:xfrm>
                    <a:prstGeom prst="rect">
                      <a:avLst/>
                    </a:prstGeom>
                  </pic:spPr>
                </pic:pic>
              </a:graphicData>
            </a:graphic>
          </wp:inline>
        </w:drawing>
      </w:r>
    </w:p>
    <w:p w14:paraId="1431C62A" w14:textId="3F53FB92" w:rsidR="002425C2" w:rsidRPr="00F01F45" w:rsidRDefault="00D32B30" w:rsidP="00F01F45">
      <w:pPr>
        <w:pStyle w:val="ListParagraph"/>
        <w:numPr>
          <w:ilvl w:val="0"/>
          <w:numId w:val="55"/>
        </w:numPr>
        <w:rPr>
          <w:rFonts w:ascii="Arial" w:hAnsi="Arial" w:cs="Arial"/>
          <w:sz w:val="24"/>
          <w:szCs w:val="24"/>
        </w:rPr>
      </w:pPr>
      <w:r w:rsidRPr="00F01F45">
        <w:rPr>
          <w:rFonts w:ascii="Arial" w:hAnsi="Arial" w:cs="Arial"/>
          <w:bCs/>
          <w:iCs/>
          <w:sz w:val="24"/>
          <w:szCs w:val="24"/>
        </w:rPr>
        <w:t xml:space="preserve">The </w:t>
      </w:r>
      <w:r w:rsidRPr="00F01F45">
        <w:rPr>
          <w:rFonts w:ascii="Arial" w:hAnsi="Arial" w:cs="Arial"/>
          <w:b/>
          <w:bCs/>
          <w:iCs/>
          <w:sz w:val="24"/>
          <w:szCs w:val="24"/>
        </w:rPr>
        <w:t>Herfindahl–Hirschman Index (HHI)</w:t>
      </w:r>
      <w:r w:rsidRPr="00F01F45">
        <w:rPr>
          <w:rFonts w:ascii="Arial" w:hAnsi="Arial" w:cs="Arial"/>
          <w:bCs/>
          <w:iCs/>
          <w:sz w:val="24"/>
          <w:szCs w:val="24"/>
        </w:rPr>
        <w:t xml:space="preserve"> is a standard measure of market concentration used in economics and risk analysis.</w:t>
      </w:r>
    </w:p>
    <w:p w14:paraId="536098C4" w14:textId="70D171DE" w:rsidR="00F01F45" w:rsidRPr="00F01F45" w:rsidRDefault="00F01F45" w:rsidP="00F01F45">
      <w:pPr>
        <w:pStyle w:val="ListParagraph"/>
        <w:numPr>
          <w:ilvl w:val="0"/>
          <w:numId w:val="55"/>
        </w:numPr>
        <w:spacing w:before="100" w:beforeAutospacing="1" w:after="100" w:afterAutospacing="1" w:line="240" w:lineRule="auto"/>
        <w:rPr>
          <w:rFonts w:ascii="Arial" w:eastAsia="Times New Roman" w:hAnsi="Arial" w:cs="Arial"/>
          <w:sz w:val="24"/>
          <w:szCs w:val="24"/>
          <w:lang w:eastAsia="en-GB"/>
        </w:rPr>
      </w:pPr>
      <w:r w:rsidRPr="00F01F45">
        <w:rPr>
          <w:rFonts w:ascii="Arial" w:eastAsia="Times New Roman" w:hAnsi="Arial" w:cs="Arial"/>
          <w:sz w:val="24"/>
          <w:szCs w:val="24"/>
          <w:lang w:eastAsia="en-GB"/>
        </w:rPr>
        <w:t xml:space="preserve">The sector landscape is </w:t>
      </w:r>
      <w:r w:rsidRPr="00F01F45">
        <w:rPr>
          <w:rFonts w:ascii="Arial" w:eastAsia="Times New Roman" w:hAnsi="Arial" w:cs="Arial"/>
          <w:b/>
          <w:bCs/>
          <w:sz w:val="24"/>
          <w:szCs w:val="24"/>
          <w:lang w:eastAsia="en-GB"/>
        </w:rPr>
        <w:t>highly concentrated</w:t>
      </w:r>
      <w:r w:rsidRPr="00F01F45">
        <w:rPr>
          <w:rFonts w:ascii="Arial" w:eastAsia="Times New Roman" w:hAnsi="Arial" w:cs="Arial"/>
          <w:sz w:val="24"/>
          <w:szCs w:val="24"/>
          <w:lang w:eastAsia="en-GB"/>
        </w:rPr>
        <w:t xml:space="preserve">. A few sectors (notably </w:t>
      </w:r>
      <w:r w:rsidRPr="00F01F45">
        <w:rPr>
          <w:rFonts w:ascii="Arial" w:eastAsia="Times New Roman" w:hAnsi="Arial" w:cs="Arial"/>
          <w:b/>
          <w:bCs/>
          <w:sz w:val="24"/>
          <w:szCs w:val="24"/>
          <w:lang w:eastAsia="en-GB"/>
        </w:rPr>
        <w:t>IT, Fuels, Jewellery, Electricity, Construction, Chemicals, Industry, Finance</w:t>
      </w:r>
      <w:r w:rsidRPr="00F01F45">
        <w:rPr>
          <w:rFonts w:ascii="Arial" w:eastAsia="Times New Roman" w:hAnsi="Arial" w:cs="Arial"/>
          <w:sz w:val="24"/>
          <w:szCs w:val="24"/>
          <w:lang w:eastAsia="en-GB"/>
        </w:rPr>
        <w:t xml:space="preserve">) show very high HHI and </w:t>
      </w:r>
      <w:r w:rsidRPr="00F01F45">
        <w:rPr>
          <w:rFonts w:ascii="Arial" w:eastAsia="Times New Roman" w:hAnsi="Arial" w:cs="Arial"/>
          <w:b/>
          <w:bCs/>
          <w:sz w:val="24"/>
          <w:szCs w:val="24"/>
          <w:lang w:eastAsia="en-GB"/>
        </w:rPr>
        <w:t>Top</w:t>
      </w:r>
      <w:r w:rsidRPr="00F01F45">
        <w:rPr>
          <w:rFonts w:ascii="Arial" w:eastAsia="Times New Roman" w:hAnsi="Arial" w:cs="Arial"/>
          <w:b/>
          <w:bCs/>
          <w:sz w:val="24"/>
          <w:szCs w:val="24"/>
          <w:lang w:eastAsia="en-GB"/>
        </w:rPr>
        <w:noBreakHyphen/>
        <w:t>3 shares near or above 90%</w:t>
      </w:r>
      <w:r w:rsidRPr="00F01F45">
        <w:rPr>
          <w:rFonts w:ascii="Arial" w:eastAsia="Times New Roman" w:hAnsi="Arial" w:cs="Arial"/>
          <w:sz w:val="24"/>
          <w:szCs w:val="24"/>
          <w:lang w:eastAsia="en-GB"/>
        </w:rPr>
        <w:t xml:space="preserve">, while sectors like </w:t>
      </w:r>
      <w:r w:rsidRPr="00F01F45">
        <w:rPr>
          <w:rFonts w:ascii="Arial" w:eastAsia="Times New Roman" w:hAnsi="Arial" w:cs="Arial"/>
          <w:b/>
          <w:bCs/>
          <w:sz w:val="24"/>
          <w:szCs w:val="24"/>
          <w:lang w:eastAsia="en-GB"/>
        </w:rPr>
        <w:t>Agriculture, Trade, Personal Loans</w:t>
      </w:r>
      <w:r w:rsidRPr="00F01F45">
        <w:rPr>
          <w:rFonts w:ascii="Arial" w:eastAsia="Times New Roman" w:hAnsi="Arial" w:cs="Arial"/>
          <w:sz w:val="24"/>
          <w:szCs w:val="24"/>
          <w:lang w:eastAsia="en-GB"/>
        </w:rPr>
        <w:t xml:space="preserve"> are comparatively more distributed. The portfolio</w:t>
      </w:r>
      <w:r w:rsidRPr="00F01F45">
        <w:rPr>
          <w:rFonts w:ascii="Arial" w:eastAsia="Times New Roman" w:hAnsi="Arial" w:cs="Arial"/>
          <w:sz w:val="24"/>
          <w:szCs w:val="24"/>
          <w:lang w:eastAsia="en-GB"/>
        </w:rPr>
        <w:noBreakHyphen/>
        <w:t>level HHI (~</w:t>
      </w:r>
      <w:r w:rsidRPr="00F01F45">
        <w:rPr>
          <w:rFonts w:ascii="Arial" w:eastAsia="Times New Roman" w:hAnsi="Arial" w:cs="Arial"/>
          <w:b/>
          <w:bCs/>
          <w:sz w:val="24"/>
          <w:szCs w:val="24"/>
          <w:lang w:eastAsia="en-GB"/>
        </w:rPr>
        <w:t>0.42</w:t>
      </w:r>
      <w:r w:rsidRPr="00F01F45">
        <w:rPr>
          <w:rFonts w:ascii="Arial" w:eastAsia="Times New Roman" w:hAnsi="Arial" w:cs="Arial"/>
          <w:sz w:val="24"/>
          <w:szCs w:val="24"/>
          <w:lang w:eastAsia="en-GB"/>
        </w:rPr>
        <w:t xml:space="preserve">) signals </w:t>
      </w:r>
      <w:r w:rsidRPr="00F01F45">
        <w:rPr>
          <w:rFonts w:ascii="Arial" w:eastAsia="Times New Roman" w:hAnsi="Arial" w:cs="Arial"/>
          <w:b/>
          <w:bCs/>
          <w:sz w:val="24"/>
          <w:szCs w:val="24"/>
          <w:lang w:eastAsia="en-GB"/>
        </w:rPr>
        <w:t>moderate to high concentration</w:t>
      </w:r>
      <w:r>
        <w:rPr>
          <w:rFonts w:ascii="Arial" w:eastAsia="Times New Roman" w:hAnsi="Arial" w:cs="Arial"/>
          <w:sz w:val="24"/>
          <w:szCs w:val="24"/>
          <w:lang w:eastAsia="en-GB"/>
        </w:rPr>
        <w:t>.</w:t>
      </w:r>
    </w:p>
    <w:p w14:paraId="1858CE46" w14:textId="273F4171" w:rsidR="00016F53" w:rsidRDefault="00016F53" w:rsidP="00625782">
      <w:pPr>
        <w:pStyle w:val="ListParagraph"/>
        <w:numPr>
          <w:ilvl w:val="0"/>
          <w:numId w:val="55"/>
        </w:numPr>
        <w:rPr>
          <w:rFonts w:ascii="Arial" w:hAnsi="Arial" w:cs="Arial"/>
          <w:sz w:val="24"/>
          <w:szCs w:val="24"/>
        </w:rPr>
      </w:pPr>
      <w:r w:rsidRPr="00F01F45">
        <w:rPr>
          <w:rFonts w:ascii="Arial" w:hAnsi="Arial" w:cs="Arial"/>
          <w:sz w:val="24"/>
          <w:szCs w:val="24"/>
        </w:rPr>
        <w:t xml:space="preserve">This shows </w:t>
      </w:r>
      <w:r w:rsidRPr="00F01F45">
        <w:rPr>
          <w:rFonts w:ascii="Arial" w:hAnsi="Arial" w:cs="Arial"/>
          <w:b/>
          <w:bCs/>
          <w:sz w:val="24"/>
          <w:szCs w:val="24"/>
        </w:rPr>
        <w:t>sector</w:t>
      </w:r>
      <w:r w:rsidRPr="00F01F45">
        <w:rPr>
          <w:rFonts w:ascii="Arial" w:hAnsi="Arial" w:cs="Arial"/>
          <w:b/>
          <w:bCs/>
          <w:sz w:val="24"/>
          <w:szCs w:val="24"/>
        </w:rPr>
        <w:noBreakHyphen/>
        <w:t>level concentration</w:t>
      </w:r>
      <w:r w:rsidRPr="00F01F45">
        <w:rPr>
          <w:rFonts w:ascii="Arial" w:hAnsi="Arial" w:cs="Arial"/>
          <w:sz w:val="24"/>
          <w:szCs w:val="24"/>
        </w:rPr>
        <w:t xml:space="preserve"> using HHI and the </w:t>
      </w:r>
      <w:r w:rsidRPr="00F01F45">
        <w:rPr>
          <w:rFonts w:ascii="Arial" w:hAnsi="Arial" w:cs="Arial"/>
          <w:b/>
          <w:bCs/>
          <w:sz w:val="24"/>
          <w:szCs w:val="24"/>
        </w:rPr>
        <w:t>Top</w:t>
      </w:r>
      <w:r w:rsidRPr="00F01F45">
        <w:rPr>
          <w:rFonts w:ascii="Arial" w:hAnsi="Arial" w:cs="Arial"/>
          <w:b/>
          <w:bCs/>
          <w:sz w:val="24"/>
          <w:szCs w:val="24"/>
        </w:rPr>
        <w:noBreakHyphen/>
        <w:t>3 share</w:t>
      </w:r>
      <w:r w:rsidRPr="00F01F45">
        <w:rPr>
          <w:rFonts w:ascii="Arial" w:hAnsi="Arial" w:cs="Arial"/>
          <w:sz w:val="24"/>
          <w:szCs w:val="24"/>
        </w:rPr>
        <w:t xml:space="preserve">. </w:t>
      </w:r>
      <w:r w:rsidRPr="00F01F45">
        <w:rPr>
          <w:rFonts w:ascii="Arial" w:hAnsi="Arial" w:cs="Arial"/>
          <w:b/>
          <w:bCs/>
          <w:sz w:val="24"/>
          <w:szCs w:val="24"/>
        </w:rPr>
        <w:t>Finance, Industry, and Professional Services</w:t>
      </w:r>
      <w:r w:rsidRPr="00F01F45">
        <w:rPr>
          <w:rFonts w:ascii="Arial" w:hAnsi="Arial" w:cs="Arial"/>
          <w:sz w:val="24"/>
          <w:szCs w:val="24"/>
        </w:rPr>
        <w:t xml:space="preserve"> are the most concentrated sectors, while </w:t>
      </w:r>
      <w:r w:rsidRPr="00F01F45">
        <w:rPr>
          <w:rFonts w:ascii="Arial" w:hAnsi="Arial" w:cs="Arial"/>
          <w:b/>
          <w:bCs/>
          <w:sz w:val="24"/>
          <w:szCs w:val="24"/>
        </w:rPr>
        <w:t>Agriculture, Trade, and Personal Loans</w:t>
      </w:r>
      <w:r w:rsidRPr="00F01F45">
        <w:rPr>
          <w:rFonts w:ascii="Arial" w:hAnsi="Arial" w:cs="Arial"/>
          <w:sz w:val="24"/>
          <w:szCs w:val="24"/>
        </w:rPr>
        <w:t xml:space="preserve"> are relatively more distributed</w:t>
      </w:r>
      <w:r w:rsidR="00F01F45">
        <w:rPr>
          <w:rFonts w:ascii="Arial" w:hAnsi="Arial" w:cs="Arial"/>
          <w:sz w:val="24"/>
          <w:szCs w:val="24"/>
        </w:rPr>
        <w:t>.</w:t>
      </w:r>
    </w:p>
    <w:p w14:paraId="1884B69D" w14:textId="77777777" w:rsidR="00F01F45" w:rsidRDefault="00F01F45" w:rsidP="00F01F45">
      <w:pPr>
        <w:pStyle w:val="ListParagraph"/>
        <w:rPr>
          <w:rFonts w:ascii="Arial" w:hAnsi="Arial" w:cs="Arial"/>
          <w:sz w:val="24"/>
          <w:szCs w:val="24"/>
        </w:rPr>
      </w:pPr>
    </w:p>
    <w:p w14:paraId="22F2D101" w14:textId="6E9E66C5" w:rsidR="00F01F45" w:rsidRPr="00F01F45" w:rsidRDefault="00F01F45" w:rsidP="00F01F45">
      <w:pPr>
        <w:pStyle w:val="Heading2"/>
        <w:tabs>
          <w:tab w:val="left" w:pos="263"/>
        </w:tabs>
        <w:spacing w:before="0" w:line="360" w:lineRule="auto"/>
        <w:ind w:left="283"/>
        <w:rPr>
          <w:rFonts w:ascii="Arial" w:hAnsi="Arial" w:cs="Arial"/>
          <w:sz w:val="24"/>
          <w:szCs w:val="24"/>
        </w:rPr>
      </w:pPr>
      <w:r w:rsidRPr="00F01F45">
        <w:rPr>
          <w:rFonts w:ascii="Arial" w:hAnsi="Arial" w:cs="Arial"/>
          <w:color w:val="0070C0"/>
        </w:rPr>
        <w:lastRenderedPageBreak/>
        <w:t>8.7. Outstanding by Sectors</w:t>
      </w:r>
    </w:p>
    <w:p w14:paraId="4FD41064" w14:textId="47DCA0F3" w:rsidR="00F01F45" w:rsidRDefault="00F01F45" w:rsidP="00F01F45">
      <w:pPr>
        <w:ind w:left="360"/>
        <w:rPr>
          <w:rFonts w:ascii="Arial" w:hAnsi="Arial" w:cs="Arial"/>
          <w:sz w:val="24"/>
          <w:szCs w:val="24"/>
        </w:rPr>
      </w:pPr>
      <w:r w:rsidRPr="004D54F5">
        <w:rPr>
          <w:rFonts w:ascii="Arial" w:hAnsi="Arial" w:cs="Arial"/>
          <w:noProof/>
        </w:rPr>
        <w:drawing>
          <wp:inline distT="0" distB="0" distL="0" distR="0" wp14:anchorId="76175F51" wp14:editId="37E4315B">
            <wp:extent cx="5731510" cy="31635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163570"/>
                    </a:xfrm>
                    <a:prstGeom prst="rect">
                      <a:avLst/>
                    </a:prstGeom>
                  </pic:spPr>
                </pic:pic>
              </a:graphicData>
            </a:graphic>
          </wp:inline>
        </w:drawing>
      </w:r>
    </w:p>
    <w:p w14:paraId="032D9038" w14:textId="3C4167CD" w:rsidR="0094787C" w:rsidRPr="0094787C" w:rsidRDefault="0094787C" w:rsidP="00F01F45">
      <w:pPr>
        <w:pStyle w:val="ListParagraph"/>
        <w:numPr>
          <w:ilvl w:val="0"/>
          <w:numId w:val="55"/>
        </w:numPr>
        <w:rPr>
          <w:rFonts w:ascii="Arial" w:hAnsi="Arial" w:cs="Arial"/>
          <w:b/>
          <w:i/>
          <w:sz w:val="28"/>
          <w:szCs w:val="28"/>
        </w:rPr>
      </w:pPr>
      <w:r w:rsidRPr="0094787C">
        <w:rPr>
          <w:rFonts w:ascii="Arial" w:hAnsi="Arial" w:cs="Arial"/>
          <w:b/>
          <w:i/>
          <w:sz w:val="28"/>
          <w:szCs w:val="28"/>
        </w:rPr>
        <w:t>Insights</w:t>
      </w:r>
    </w:p>
    <w:p w14:paraId="765DAAD3" w14:textId="77777777" w:rsidR="0094787C" w:rsidRDefault="00F01F45" w:rsidP="00F01F45">
      <w:pPr>
        <w:pStyle w:val="ListParagraph"/>
        <w:numPr>
          <w:ilvl w:val="0"/>
          <w:numId w:val="55"/>
        </w:numPr>
        <w:rPr>
          <w:rFonts w:ascii="Arial" w:hAnsi="Arial" w:cs="Arial"/>
          <w:sz w:val="24"/>
          <w:szCs w:val="24"/>
        </w:rPr>
      </w:pPr>
      <w:r w:rsidRPr="00F01F45">
        <w:rPr>
          <w:rFonts w:ascii="Arial" w:hAnsi="Arial" w:cs="Arial"/>
          <w:sz w:val="24"/>
          <w:szCs w:val="24"/>
        </w:rPr>
        <w:t xml:space="preserve">The </w:t>
      </w:r>
      <w:r w:rsidRPr="00F01F45">
        <w:rPr>
          <w:rFonts w:ascii="Arial" w:hAnsi="Arial" w:cs="Arial"/>
          <w:b/>
          <w:bCs/>
          <w:sz w:val="24"/>
          <w:szCs w:val="24"/>
        </w:rPr>
        <w:t>outstanding portfolio is sector</w:t>
      </w:r>
      <w:r w:rsidRPr="00F01F45">
        <w:rPr>
          <w:rFonts w:ascii="Arial" w:hAnsi="Arial" w:cs="Arial"/>
          <w:b/>
          <w:bCs/>
          <w:sz w:val="24"/>
          <w:szCs w:val="24"/>
        </w:rPr>
        <w:noBreakHyphen/>
        <w:t>skewed</w:t>
      </w:r>
      <w:r w:rsidRPr="00F01F45">
        <w:rPr>
          <w:rFonts w:ascii="Arial" w:hAnsi="Arial" w:cs="Arial"/>
          <w:sz w:val="24"/>
          <w:szCs w:val="24"/>
        </w:rPr>
        <w:t xml:space="preserve">: a handful of sectors (notably </w:t>
      </w:r>
      <w:r w:rsidRPr="00F01F45">
        <w:rPr>
          <w:rFonts w:ascii="Arial" w:hAnsi="Arial" w:cs="Arial"/>
          <w:b/>
          <w:bCs/>
          <w:sz w:val="24"/>
          <w:szCs w:val="24"/>
        </w:rPr>
        <w:t>Industry, Finance, Personal Loans, and Agriculture</w:t>
      </w:r>
      <w:r w:rsidRPr="00F01F45">
        <w:rPr>
          <w:rFonts w:ascii="Arial" w:hAnsi="Arial" w:cs="Arial"/>
          <w:sz w:val="24"/>
          <w:szCs w:val="24"/>
        </w:rPr>
        <w:t xml:space="preserve">) drive most of the outstanding balances across states. </w:t>
      </w:r>
    </w:p>
    <w:p w14:paraId="75ADDDAA" w14:textId="44FE99C3" w:rsidR="00F01F45" w:rsidRPr="0094787C" w:rsidRDefault="00F01F45" w:rsidP="0094787C">
      <w:pPr>
        <w:pStyle w:val="ListParagraph"/>
        <w:numPr>
          <w:ilvl w:val="0"/>
          <w:numId w:val="55"/>
        </w:numPr>
        <w:rPr>
          <w:rFonts w:ascii="Arial" w:hAnsi="Arial" w:cs="Arial"/>
          <w:sz w:val="24"/>
          <w:szCs w:val="24"/>
        </w:rPr>
      </w:pPr>
      <w:r w:rsidRPr="00F01F45">
        <w:rPr>
          <w:rFonts w:ascii="Arial" w:hAnsi="Arial" w:cs="Arial"/>
          <w:sz w:val="24"/>
          <w:szCs w:val="24"/>
        </w:rPr>
        <w:t>Geographic distribution is uneven — a few states show large, multi</w:t>
      </w:r>
      <w:r w:rsidRPr="00F01F45">
        <w:rPr>
          <w:rFonts w:ascii="Arial" w:hAnsi="Arial" w:cs="Arial"/>
          <w:sz w:val="24"/>
          <w:szCs w:val="24"/>
        </w:rPr>
        <w:noBreakHyphen/>
        <w:t xml:space="preserve">sector pies while many states have small, narrow exposures — creating both </w:t>
      </w:r>
      <w:r w:rsidRPr="00F01F45">
        <w:rPr>
          <w:rFonts w:ascii="Arial" w:hAnsi="Arial" w:cs="Arial"/>
          <w:b/>
          <w:bCs/>
          <w:sz w:val="24"/>
          <w:szCs w:val="24"/>
        </w:rPr>
        <w:t>concentration risk</w:t>
      </w:r>
      <w:r w:rsidRPr="00F01F45">
        <w:rPr>
          <w:rFonts w:ascii="Arial" w:hAnsi="Arial" w:cs="Arial"/>
          <w:sz w:val="24"/>
          <w:szCs w:val="24"/>
        </w:rPr>
        <w:t xml:space="preserve"> and clear opportunities for targeted growth or remediation.</w:t>
      </w:r>
    </w:p>
    <w:p w14:paraId="117F060A" w14:textId="348E81E9" w:rsidR="0094787C" w:rsidRPr="0094787C" w:rsidRDefault="0094787C" w:rsidP="0094787C">
      <w:pPr>
        <w:pStyle w:val="ListParagraph"/>
        <w:numPr>
          <w:ilvl w:val="0"/>
          <w:numId w:val="55"/>
        </w:numPr>
        <w:spacing w:after="0" w:line="240" w:lineRule="auto"/>
        <w:rPr>
          <w:rFonts w:ascii="Arial" w:eastAsia="Times New Roman" w:hAnsi="Arial" w:cs="Arial"/>
          <w:sz w:val="24"/>
          <w:szCs w:val="24"/>
          <w:lang w:eastAsia="en-GB"/>
        </w:rPr>
      </w:pPr>
      <w:r w:rsidRPr="0094787C">
        <w:rPr>
          <w:rFonts w:ascii="Arial" w:eastAsia="Times New Roman" w:hAnsi="Arial" w:cs="Arial"/>
          <w:b/>
          <w:bCs/>
          <w:sz w:val="24"/>
          <w:szCs w:val="24"/>
          <w:lang w:eastAsia="en-GB"/>
        </w:rPr>
        <w:t>Metro hubs concentrate multi</w:t>
      </w:r>
      <w:r w:rsidRPr="0094787C">
        <w:rPr>
          <w:rFonts w:ascii="Arial" w:eastAsia="Times New Roman" w:hAnsi="Arial" w:cs="Arial"/>
          <w:b/>
          <w:bCs/>
          <w:sz w:val="24"/>
          <w:szCs w:val="24"/>
          <w:lang w:eastAsia="en-GB"/>
        </w:rPr>
        <w:noBreakHyphen/>
        <w:t>sector exposure</w:t>
      </w:r>
      <w:r w:rsidRPr="0094787C">
        <w:rPr>
          <w:rFonts w:ascii="Arial" w:eastAsia="Times New Roman" w:hAnsi="Arial" w:cs="Arial"/>
          <w:sz w:val="24"/>
          <w:szCs w:val="24"/>
          <w:lang w:eastAsia="en-GB"/>
        </w:rPr>
        <w:t xml:space="preserve"> — states with big urban centers show large, diversified pies but are still dominated by Industry/Finance.</w:t>
      </w:r>
    </w:p>
    <w:p w14:paraId="51176BE6" w14:textId="77777777" w:rsidR="0094787C" w:rsidRPr="0094787C" w:rsidRDefault="0094787C" w:rsidP="0094787C">
      <w:pPr>
        <w:numPr>
          <w:ilvl w:val="0"/>
          <w:numId w:val="55"/>
        </w:numPr>
        <w:spacing w:before="100" w:beforeAutospacing="1" w:after="100" w:afterAutospacing="1" w:line="240" w:lineRule="auto"/>
        <w:rPr>
          <w:rFonts w:ascii="Arial" w:eastAsia="Times New Roman" w:hAnsi="Arial" w:cs="Arial"/>
          <w:sz w:val="24"/>
          <w:szCs w:val="24"/>
          <w:lang w:eastAsia="en-GB"/>
        </w:rPr>
      </w:pPr>
      <w:r w:rsidRPr="0094787C">
        <w:rPr>
          <w:rFonts w:ascii="Arial" w:eastAsia="Times New Roman" w:hAnsi="Arial" w:cs="Arial"/>
          <w:b/>
          <w:bCs/>
          <w:sz w:val="24"/>
          <w:szCs w:val="24"/>
          <w:lang w:eastAsia="en-GB"/>
        </w:rPr>
        <w:t>Rural and semi</w:t>
      </w:r>
      <w:r w:rsidRPr="0094787C">
        <w:rPr>
          <w:rFonts w:ascii="Arial" w:eastAsia="Times New Roman" w:hAnsi="Arial" w:cs="Arial"/>
          <w:b/>
          <w:bCs/>
          <w:sz w:val="24"/>
          <w:szCs w:val="24"/>
          <w:lang w:eastAsia="en-GB"/>
        </w:rPr>
        <w:noBreakHyphen/>
        <w:t>urban pies are sector</w:t>
      </w:r>
      <w:r w:rsidRPr="0094787C">
        <w:rPr>
          <w:rFonts w:ascii="Arial" w:eastAsia="Times New Roman" w:hAnsi="Arial" w:cs="Arial"/>
          <w:b/>
          <w:bCs/>
          <w:sz w:val="24"/>
          <w:szCs w:val="24"/>
          <w:lang w:eastAsia="en-GB"/>
        </w:rPr>
        <w:noBreakHyphen/>
        <w:t>specific</w:t>
      </w:r>
      <w:r w:rsidRPr="0094787C">
        <w:rPr>
          <w:rFonts w:ascii="Arial" w:eastAsia="Times New Roman" w:hAnsi="Arial" w:cs="Arial"/>
          <w:sz w:val="24"/>
          <w:szCs w:val="24"/>
          <w:lang w:eastAsia="en-GB"/>
        </w:rPr>
        <w:t xml:space="preserve"> — Agriculture and Regional Trade dominate in some states, making those states vulnerable to local shocks (monsoon, commodity prices).</w:t>
      </w:r>
    </w:p>
    <w:p w14:paraId="0A932E39" w14:textId="77777777" w:rsidR="0094787C" w:rsidRPr="0094787C" w:rsidRDefault="0094787C" w:rsidP="0094787C">
      <w:pPr>
        <w:numPr>
          <w:ilvl w:val="0"/>
          <w:numId w:val="55"/>
        </w:numPr>
        <w:spacing w:before="100" w:beforeAutospacing="1" w:after="100" w:afterAutospacing="1" w:line="240" w:lineRule="auto"/>
        <w:rPr>
          <w:rFonts w:ascii="Arial" w:eastAsia="Times New Roman" w:hAnsi="Arial" w:cs="Arial"/>
          <w:sz w:val="24"/>
          <w:szCs w:val="24"/>
          <w:lang w:eastAsia="en-GB"/>
        </w:rPr>
      </w:pPr>
      <w:r w:rsidRPr="0094787C">
        <w:rPr>
          <w:rFonts w:ascii="Arial" w:eastAsia="Times New Roman" w:hAnsi="Arial" w:cs="Arial"/>
          <w:b/>
          <w:bCs/>
          <w:sz w:val="24"/>
          <w:szCs w:val="24"/>
          <w:lang w:eastAsia="en-GB"/>
        </w:rPr>
        <w:t>Single</w:t>
      </w:r>
      <w:r w:rsidRPr="0094787C">
        <w:rPr>
          <w:rFonts w:ascii="Arial" w:eastAsia="Times New Roman" w:hAnsi="Arial" w:cs="Arial"/>
          <w:b/>
          <w:bCs/>
          <w:sz w:val="24"/>
          <w:szCs w:val="24"/>
          <w:lang w:eastAsia="en-GB"/>
        </w:rPr>
        <w:noBreakHyphen/>
        <w:t>sector dominance in some states</w:t>
      </w:r>
      <w:r w:rsidRPr="0094787C">
        <w:rPr>
          <w:rFonts w:ascii="Arial" w:eastAsia="Times New Roman" w:hAnsi="Arial" w:cs="Arial"/>
          <w:sz w:val="24"/>
          <w:szCs w:val="24"/>
          <w:lang w:eastAsia="en-GB"/>
        </w:rPr>
        <w:t xml:space="preserve"> suggests </w:t>
      </w:r>
      <w:r w:rsidRPr="0094787C">
        <w:rPr>
          <w:rFonts w:ascii="Arial" w:eastAsia="Times New Roman" w:hAnsi="Arial" w:cs="Arial"/>
          <w:b/>
          <w:bCs/>
          <w:sz w:val="24"/>
          <w:szCs w:val="24"/>
          <w:lang w:eastAsia="en-GB"/>
        </w:rPr>
        <w:t>single</w:t>
      </w:r>
      <w:r w:rsidRPr="0094787C">
        <w:rPr>
          <w:rFonts w:ascii="Arial" w:eastAsia="Times New Roman" w:hAnsi="Arial" w:cs="Arial"/>
          <w:b/>
          <w:bCs/>
          <w:sz w:val="24"/>
          <w:szCs w:val="24"/>
          <w:lang w:eastAsia="en-GB"/>
        </w:rPr>
        <w:noBreakHyphen/>
        <w:t>point failure risk</w:t>
      </w:r>
      <w:r w:rsidRPr="0094787C">
        <w:rPr>
          <w:rFonts w:ascii="Arial" w:eastAsia="Times New Roman" w:hAnsi="Arial" w:cs="Arial"/>
          <w:sz w:val="24"/>
          <w:szCs w:val="24"/>
          <w:lang w:eastAsia="en-GB"/>
        </w:rPr>
        <w:t xml:space="preserve"> if a major borrower or industry cluster weakens.</w:t>
      </w:r>
    </w:p>
    <w:p w14:paraId="6DAF35BF" w14:textId="3DC2279C" w:rsidR="00F01F45" w:rsidRPr="0094787C" w:rsidRDefault="0094787C" w:rsidP="0094787C">
      <w:pPr>
        <w:numPr>
          <w:ilvl w:val="0"/>
          <w:numId w:val="55"/>
        </w:numPr>
        <w:spacing w:before="100" w:beforeAutospacing="1" w:after="100" w:afterAutospacing="1" w:line="240" w:lineRule="auto"/>
        <w:rPr>
          <w:rFonts w:ascii="Arial" w:eastAsia="Times New Roman" w:hAnsi="Arial" w:cs="Arial"/>
          <w:sz w:val="24"/>
          <w:szCs w:val="24"/>
          <w:lang w:eastAsia="en-GB"/>
        </w:rPr>
      </w:pPr>
      <w:r w:rsidRPr="0094787C">
        <w:rPr>
          <w:rFonts w:ascii="Arial" w:eastAsia="Times New Roman" w:hAnsi="Arial" w:cs="Arial"/>
          <w:b/>
          <w:bCs/>
          <w:sz w:val="24"/>
          <w:szCs w:val="24"/>
          <w:lang w:eastAsia="en-GB"/>
        </w:rPr>
        <w:t>Long tail of small states</w:t>
      </w:r>
      <w:r w:rsidRPr="0094787C">
        <w:rPr>
          <w:rFonts w:ascii="Arial" w:eastAsia="Times New Roman" w:hAnsi="Arial" w:cs="Arial"/>
          <w:sz w:val="24"/>
          <w:szCs w:val="24"/>
          <w:lang w:eastAsia="en-GB"/>
        </w:rPr>
        <w:t>: many states have low outstanding; these are opportunities for low</w:t>
      </w:r>
      <w:r w:rsidRPr="0094787C">
        <w:rPr>
          <w:rFonts w:ascii="Arial" w:eastAsia="Times New Roman" w:hAnsi="Arial" w:cs="Arial"/>
          <w:sz w:val="24"/>
          <w:szCs w:val="24"/>
          <w:lang w:eastAsia="en-GB"/>
        </w:rPr>
        <w:noBreakHyphen/>
        <w:t>cost digital origination or partnerships to diversify.</w:t>
      </w:r>
    </w:p>
    <w:p w14:paraId="6F001A32" w14:textId="77777777" w:rsidR="008F08B9" w:rsidRPr="00851FE7" w:rsidRDefault="008F08B9" w:rsidP="008F08B9">
      <w:pPr>
        <w:pStyle w:val="Heading2"/>
        <w:tabs>
          <w:tab w:val="left" w:pos="263"/>
        </w:tabs>
        <w:spacing w:before="217"/>
        <w:rPr>
          <w:rFonts w:ascii="Arial" w:hAnsi="Arial" w:cs="Arial"/>
          <w:color w:val="0070C0"/>
          <w:sz w:val="24"/>
          <w:szCs w:val="24"/>
        </w:rPr>
      </w:pPr>
      <w:r w:rsidRPr="008F08B9">
        <w:rPr>
          <w:rFonts w:ascii="Arial" w:hAnsi="Arial" w:cs="Arial"/>
          <w:color w:val="0070C0"/>
          <w:sz w:val="24"/>
          <w:szCs w:val="24"/>
        </w:rPr>
        <w:t>9. Insights &amp; Conclusions</w:t>
      </w:r>
    </w:p>
    <w:p w14:paraId="7718B680" w14:textId="12AB7182" w:rsidR="008B09D5" w:rsidRPr="00851FE7" w:rsidRDefault="008B09D5" w:rsidP="00016F53">
      <w:pPr>
        <w:pStyle w:val="ListParagraph"/>
        <w:numPr>
          <w:ilvl w:val="0"/>
          <w:numId w:val="23"/>
        </w:numPr>
        <w:ind w:left="700"/>
        <w:rPr>
          <w:rFonts w:ascii="Arial" w:hAnsi="Arial" w:cs="Arial"/>
          <w:sz w:val="24"/>
          <w:szCs w:val="24"/>
        </w:rPr>
      </w:pPr>
      <w:r w:rsidRPr="00851FE7">
        <w:rPr>
          <w:rFonts w:ascii="Arial" w:hAnsi="Arial" w:cs="Arial"/>
          <w:sz w:val="24"/>
          <w:szCs w:val="24"/>
        </w:rPr>
        <w:t xml:space="preserve">Since the dataset is </w:t>
      </w:r>
      <w:r w:rsidR="00CF0A50" w:rsidRPr="00851FE7">
        <w:rPr>
          <w:rFonts w:ascii="Arial" w:hAnsi="Arial" w:cs="Arial"/>
          <w:sz w:val="24"/>
          <w:szCs w:val="24"/>
        </w:rPr>
        <w:t>huge, Statistical Analysis is done by pivot table.</w:t>
      </w:r>
    </w:p>
    <w:p w14:paraId="466BD2D5" w14:textId="440EF94E" w:rsidR="008B09D5" w:rsidRPr="00851FE7" w:rsidRDefault="008B09D5" w:rsidP="008B09D5">
      <w:pPr>
        <w:rPr>
          <w:rFonts w:ascii="Arial" w:hAnsi="Arial" w:cs="Arial"/>
          <w:sz w:val="24"/>
          <w:szCs w:val="24"/>
        </w:rPr>
      </w:pPr>
      <w:r w:rsidRPr="00851FE7">
        <w:rPr>
          <w:rFonts w:ascii="Arial" w:hAnsi="Arial" w:cs="Arial"/>
          <w:noProof/>
          <w:sz w:val="24"/>
          <w:szCs w:val="24"/>
        </w:rPr>
        <w:drawing>
          <wp:inline distT="0" distB="0" distL="0" distR="0" wp14:anchorId="0D7EF91C" wp14:editId="3AD74634">
            <wp:extent cx="5731510" cy="13512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351280"/>
                    </a:xfrm>
                    <a:prstGeom prst="rect">
                      <a:avLst/>
                    </a:prstGeom>
                  </pic:spPr>
                </pic:pic>
              </a:graphicData>
            </a:graphic>
          </wp:inline>
        </w:drawing>
      </w:r>
    </w:p>
    <w:p w14:paraId="3A1D65C5" w14:textId="7434C345" w:rsidR="00B60624" w:rsidRPr="00D918E4" w:rsidRDefault="00AA2675" w:rsidP="00BD422C">
      <w:pPr>
        <w:pStyle w:val="Heading2"/>
        <w:tabs>
          <w:tab w:val="left" w:pos="263"/>
        </w:tabs>
        <w:spacing w:before="0" w:line="360" w:lineRule="auto"/>
        <w:ind w:left="283"/>
        <w:rPr>
          <w:rFonts w:ascii="Arial" w:hAnsi="Arial" w:cs="Arial"/>
          <w:color w:val="0070C0"/>
          <w:sz w:val="24"/>
          <w:szCs w:val="24"/>
        </w:rPr>
      </w:pPr>
      <w:r w:rsidRPr="00851FE7">
        <w:rPr>
          <w:rFonts w:ascii="Arial" w:hAnsi="Arial" w:cs="Arial"/>
          <w:color w:val="0070C0"/>
          <w:sz w:val="24"/>
          <w:szCs w:val="24"/>
        </w:rPr>
        <w:lastRenderedPageBreak/>
        <w:t>9</w:t>
      </w:r>
      <w:r w:rsidR="00BD422C" w:rsidRPr="00851FE7">
        <w:rPr>
          <w:rFonts w:ascii="Arial" w:hAnsi="Arial" w:cs="Arial"/>
          <w:color w:val="0070C0"/>
          <w:sz w:val="24"/>
          <w:szCs w:val="24"/>
        </w:rPr>
        <w:t xml:space="preserve">.1. </w:t>
      </w:r>
      <w:r w:rsidR="00B60624" w:rsidRPr="00D918E4">
        <w:rPr>
          <w:rFonts w:ascii="Arial" w:hAnsi="Arial" w:cs="Arial"/>
          <w:color w:val="0070C0"/>
          <w:sz w:val="24"/>
          <w:szCs w:val="24"/>
        </w:rPr>
        <w:t>Central Tendency</w:t>
      </w:r>
    </w:p>
    <w:p w14:paraId="14D60026" w14:textId="77777777" w:rsidR="00B60624" w:rsidRPr="00D918E4" w:rsidRDefault="00B60624" w:rsidP="002315B8">
      <w:pPr>
        <w:numPr>
          <w:ilvl w:val="0"/>
          <w:numId w:val="18"/>
        </w:numPr>
        <w:spacing w:line="278" w:lineRule="auto"/>
        <w:jc w:val="left"/>
        <w:rPr>
          <w:rFonts w:ascii="Arial" w:hAnsi="Arial" w:cs="Arial"/>
          <w:sz w:val="24"/>
          <w:szCs w:val="24"/>
        </w:rPr>
      </w:pPr>
      <w:r w:rsidRPr="00D918E4">
        <w:rPr>
          <w:rFonts w:ascii="Arial" w:hAnsi="Arial" w:cs="Arial"/>
          <w:b/>
          <w:bCs/>
          <w:sz w:val="24"/>
          <w:szCs w:val="24"/>
        </w:rPr>
        <w:t>Grand Total Average Outstanding per account</w:t>
      </w:r>
      <w:r w:rsidRPr="00D918E4">
        <w:rPr>
          <w:rFonts w:ascii="Arial" w:hAnsi="Arial" w:cs="Arial"/>
          <w:sz w:val="24"/>
          <w:szCs w:val="24"/>
        </w:rPr>
        <w:t>: ~102.36</w:t>
      </w:r>
    </w:p>
    <w:p w14:paraId="70D07384" w14:textId="77777777" w:rsidR="00B60624" w:rsidRPr="00D918E4" w:rsidRDefault="00B60624" w:rsidP="002315B8">
      <w:pPr>
        <w:numPr>
          <w:ilvl w:val="0"/>
          <w:numId w:val="18"/>
        </w:numPr>
        <w:spacing w:line="278" w:lineRule="auto"/>
        <w:jc w:val="left"/>
        <w:rPr>
          <w:rFonts w:ascii="Arial" w:hAnsi="Arial" w:cs="Arial"/>
          <w:sz w:val="24"/>
          <w:szCs w:val="24"/>
        </w:rPr>
      </w:pPr>
      <w:r w:rsidRPr="00D918E4">
        <w:rPr>
          <w:rFonts w:ascii="Arial" w:hAnsi="Arial" w:cs="Arial"/>
          <w:b/>
          <w:bCs/>
          <w:sz w:val="24"/>
          <w:szCs w:val="24"/>
        </w:rPr>
        <w:t>Highest Average</w:t>
      </w:r>
      <w:r w:rsidRPr="00D918E4">
        <w:rPr>
          <w:rFonts w:ascii="Arial" w:hAnsi="Arial" w:cs="Arial"/>
          <w:sz w:val="24"/>
          <w:szCs w:val="24"/>
        </w:rPr>
        <w:t>: Western Region (~252.59) → indicates larger account sizes.</w:t>
      </w:r>
    </w:p>
    <w:p w14:paraId="07EC7443" w14:textId="77777777" w:rsidR="00B60624" w:rsidRPr="00D918E4" w:rsidRDefault="00B60624" w:rsidP="002315B8">
      <w:pPr>
        <w:numPr>
          <w:ilvl w:val="0"/>
          <w:numId w:val="18"/>
        </w:numPr>
        <w:spacing w:line="278" w:lineRule="auto"/>
        <w:jc w:val="left"/>
        <w:rPr>
          <w:rFonts w:ascii="Arial" w:hAnsi="Arial" w:cs="Arial"/>
          <w:sz w:val="24"/>
          <w:szCs w:val="24"/>
        </w:rPr>
      </w:pPr>
      <w:r w:rsidRPr="00D918E4">
        <w:rPr>
          <w:rFonts w:ascii="Arial" w:hAnsi="Arial" w:cs="Arial"/>
          <w:b/>
          <w:bCs/>
          <w:sz w:val="24"/>
          <w:szCs w:val="24"/>
        </w:rPr>
        <w:t>Lowest Average</w:t>
      </w:r>
      <w:r w:rsidRPr="00D918E4">
        <w:rPr>
          <w:rFonts w:ascii="Arial" w:hAnsi="Arial" w:cs="Arial"/>
          <w:sz w:val="24"/>
          <w:szCs w:val="24"/>
        </w:rPr>
        <w:t>: North Eastern Region (~17.53) → smaller account sizes.</w:t>
      </w:r>
    </w:p>
    <w:p w14:paraId="1534D1A2" w14:textId="77777777" w:rsidR="00B60624" w:rsidRPr="00D918E4" w:rsidRDefault="00B60624" w:rsidP="00B60624">
      <w:pPr>
        <w:spacing w:line="278" w:lineRule="auto"/>
        <w:ind w:left="720"/>
        <w:rPr>
          <w:rFonts w:ascii="Arial" w:hAnsi="Arial" w:cs="Arial"/>
          <w:sz w:val="24"/>
          <w:szCs w:val="24"/>
        </w:rPr>
      </w:pPr>
      <w:r w:rsidRPr="00D918E4">
        <w:rPr>
          <w:rFonts w:ascii="Arial" w:hAnsi="Arial" w:cs="Arial"/>
          <w:sz w:val="24"/>
          <w:szCs w:val="24"/>
        </w:rPr>
        <w:t>Western Region has accounts that are, on average, ~15× larger than North Eastern.</w:t>
      </w:r>
    </w:p>
    <w:p w14:paraId="57C52CA3" w14:textId="1611626A" w:rsidR="00AA2675" w:rsidRPr="00CF1F52" w:rsidRDefault="00AA2675" w:rsidP="00AA2675">
      <w:pPr>
        <w:pStyle w:val="Heading2"/>
        <w:tabs>
          <w:tab w:val="left" w:pos="263"/>
        </w:tabs>
        <w:spacing w:before="0" w:line="360" w:lineRule="auto"/>
        <w:ind w:left="283"/>
        <w:rPr>
          <w:rFonts w:ascii="Arial" w:hAnsi="Arial" w:cs="Arial"/>
          <w:color w:val="0070C0"/>
          <w:sz w:val="24"/>
          <w:szCs w:val="24"/>
        </w:rPr>
      </w:pPr>
      <w:r w:rsidRPr="00851FE7">
        <w:rPr>
          <w:rFonts w:ascii="Arial" w:hAnsi="Arial" w:cs="Arial"/>
          <w:color w:val="0070C0"/>
          <w:sz w:val="24"/>
          <w:szCs w:val="24"/>
        </w:rPr>
        <w:t xml:space="preserve">9.2. </w:t>
      </w:r>
      <w:r w:rsidRPr="00CF1F52">
        <w:rPr>
          <w:rFonts w:ascii="Arial" w:hAnsi="Arial" w:cs="Arial"/>
          <w:color w:val="0070C0"/>
          <w:sz w:val="24"/>
          <w:szCs w:val="24"/>
        </w:rPr>
        <w:t>Spread</w:t>
      </w:r>
    </w:p>
    <w:p w14:paraId="0B96CE97" w14:textId="77777777" w:rsidR="00B60624" w:rsidRPr="00D918E4" w:rsidRDefault="00B60624" w:rsidP="00AA2675">
      <w:pPr>
        <w:spacing w:line="278" w:lineRule="auto"/>
        <w:ind w:firstLine="720"/>
        <w:jc w:val="left"/>
        <w:rPr>
          <w:rFonts w:ascii="Arial" w:hAnsi="Arial" w:cs="Arial"/>
          <w:sz w:val="24"/>
          <w:szCs w:val="24"/>
        </w:rPr>
      </w:pPr>
      <w:r w:rsidRPr="00D918E4">
        <w:rPr>
          <w:rFonts w:ascii="Arial" w:hAnsi="Arial" w:cs="Arial"/>
          <w:b/>
          <w:bCs/>
          <w:sz w:val="24"/>
          <w:szCs w:val="24"/>
        </w:rPr>
        <w:t>StdDev (Volatility)</w:t>
      </w:r>
      <w:r w:rsidRPr="00D918E4">
        <w:rPr>
          <w:rFonts w:ascii="Arial" w:hAnsi="Arial" w:cs="Arial"/>
          <w:sz w:val="24"/>
          <w:szCs w:val="24"/>
        </w:rPr>
        <w:t>:</w:t>
      </w:r>
    </w:p>
    <w:p w14:paraId="338040E3" w14:textId="77777777" w:rsidR="00B60624" w:rsidRPr="00D918E4" w:rsidRDefault="00B60624" w:rsidP="002315B8">
      <w:pPr>
        <w:numPr>
          <w:ilvl w:val="1"/>
          <w:numId w:val="22"/>
        </w:numPr>
        <w:spacing w:line="278" w:lineRule="auto"/>
        <w:jc w:val="left"/>
        <w:rPr>
          <w:rFonts w:ascii="Arial" w:hAnsi="Arial" w:cs="Arial"/>
          <w:sz w:val="24"/>
          <w:szCs w:val="24"/>
        </w:rPr>
      </w:pPr>
      <w:r w:rsidRPr="00D918E4">
        <w:rPr>
          <w:rFonts w:ascii="Arial" w:hAnsi="Arial" w:cs="Arial"/>
          <w:sz w:val="24"/>
          <w:szCs w:val="24"/>
        </w:rPr>
        <w:t>Western Region: ~4,837 → very high variability in exposures.</w:t>
      </w:r>
    </w:p>
    <w:p w14:paraId="5A46099F" w14:textId="77777777" w:rsidR="00B60624" w:rsidRPr="00D918E4" w:rsidRDefault="00B60624" w:rsidP="002315B8">
      <w:pPr>
        <w:numPr>
          <w:ilvl w:val="1"/>
          <w:numId w:val="22"/>
        </w:numPr>
        <w:spacing w:line="278" w:lineRule="auto"/>
        <w:jc w:val="left"/>
        <w:rPr>
          <w:rFonts w:ascii="Arial" w:hAnsi="Arial" w:cs="Arial"/>
          <w:sz w:val="24"/>
          <w:szCs w:val="24"/>
        </w:rPr>
      </w:pPr>
      <w:r w:rsidRPr="00D918E4">
        <w:rPr>
          <w:rFonts w:ascii="Arial" w:hAnsi="Arial" w:cs="Arial"/>
          <w:sz w:val="24"/>
          <w:szCs w:val="24"/>
        </w:rPr>
        <w:t>Northern Region: ~1,775 → also highly dispersed.</w:t>
      </w:r>
    </w:p>
    <w:p w14:paraId="4BEC0BB4" w14:textId="77777777" w:rsidR="00B60624" w:rsidRPr="00D918E4" w:rsidRDefault="00B60624" w:rsidP="002315B8">
      <w:pPr>
        <w:numPr>
          <w:ilvl w:val="1"/>
          <w:numId w:val="22"/>
        </w:numPr>
        <w:spacing w:line="278" w:lineRule="auto"/>
        <w:jc w:val="left"/>
        <w:rPr>
          <w:rFonts w:ascii="Arial" w:hAnsi="Arial" w:cs="Arial"/>
          <w:sz w:val="24"/>
          <w:szCs w:val="24"/>
        </w:rPr>
      </w:pPr>
      <w:r w:rsidRPr="00D918E4">
        <w:rPr>
          <w:rFonts w:ascii="Arial" w:hAnsi="Arial" w:cs="Arial"/>
          <w:sz w:val="24"/>
          <w:szCs w:val="24"/>
        </w:rPr>
        <w:t>North Eastern Region: ~114 → relatively stable, low variability.</w:t>
      </w:r>
    </w:p>
    <w:p w14:paraId="3989C44B" w14:textId="77777777" w:rsidR="00B60624" w:rsidRPr="00D918E4" w:rsidRDefault="00B60624" w:rsidP="002315B8">
      <w:pPr>
        <w:numPr>
          <w:ilvl w:val="0"/>
          <w:numId w:val="19"/>
        </w:numPr>
        <w:spacing w:line="278" w:lineRule="auto"/>
        <w:jc w:val="left"/>
        <w:rPr>
          <w:rFonts w:ascii="Arial" w:hAnsi="Arial" w:cs="Arial"/>
          <w:sz w:val="24"/>
          <w:szCs w:val="24"/>
        </w:rPr>
      </w:pPr>
      <w:r w:rsidRPr="00D918E4">
        <w:rPr>
          <w:rFonts w:ascii="Arial" w:hAnsi="Arial" w:cs="Arial"/>
          <w:b/>
          <w:bCs/>
          <w:sz w:val="24"/>
          <w:szCs w:val="24"/>
        </w:rPr>
        <w:t>Range (Max – Min)</w:t>
      </w:r>
      <w:r w:rsidRPr="00D918E4">
        <w:rPr>
          <w:rFonts w:ascii="Arial" w:hAnsi="Arial" w:cs="Arial"/>
          <w:sz w:val="24"/>
          <w:szCs w:val="24"/>
        </w:rPr>
        <w:t>:</w:t>
      </w:r>
    </w:p>
    <w:p w14:paraId="753C4B28" w14:textId="77777777" w:rsidR="00B60624" w:rsidRPr="00D918E4" w:rsidRDefault="00B60624" w:rsidP="002315B8">
      <w:pPr>
        <w:numPr>
          <w:ilvl w:val="0"/>
          <w:numId w:val="20"/>
        </w:numPr>
        <w:spacing w:line="278" w:lineRule="auto"/>
        <w:jc w:val="left"/>
        <w:rPr>
          <w:rFonts w:ascii="Arial" w:hAnsi="Arial" w:cs="Arial"/>
          <w:sz w:val="24"/>
          <w:szCs w:val="24"/>
        </w:rPr>
      </w:pPr>
      <w:r w:rsidRPr="00D918E4">
        <w:rPr>
          <w:rFonts w:ascii="Arial" w:hAnsi="Arial" w:cs="Arial"/>
          <w:sz w:val="24"/>
          <w:szCs w:val="24"/>
        </w:rPr>
        <w:t>Western Region: 576,157 – 0 → extremely wide spread.</w:t>
      </w:r>
    </w:p>
    <w:p w14:paraId="251C3C89" w14:textId="77777777" w:rsidR="00B60624" w:rsidRPr="00D918E4" w:rsidRDefault="00B60624" w:rsidP="002315B8">
      <w:pPr>
        <w:numPr>
          <w:ilvl w:val="0"/>
          <w:numId w:val="20"/>
        </w:numPr>
        <w:spacing w:line="278" w:lineRule="auto"/>
        <w:jc w:val="left"/>
        <w:rPr>
          <w:rFonts w:ascii="Arial" w:hAnsi="Arial" w:cs="Arial"/>
          <w:sz w:val="24"/>
          <w:szCs w:val="24"/>
        </w:rPr>
      </w:pPr>
      <w:r w:rsidRPr="00D918E4">
        <w:rPr>
          <w:rFonts w:ascii="Arial" w:hAnsi="Arial" w:cs="Arial"/>
          <w:sz w:val="24"/>
          <w:szCs w:val="24"/>
        </w:rPr>
        <w:t>Northern Region: 234,201 – 0 → concentrated large exposures.</w:t>
      </w:r>
    </w:p>
    <w:p w14:paraId="474B291D" w14:textId="77777777" w:rsidR="00B60624" w:rsidRPr="00D918E4" w:rsidRDefault="00B60624" w:rsidP="002315B8">
      <w:pPr>
        <w:numPr>
          <w:ilvl w:val="0"/>
          <w:numId w:val="20"/>
        </w:numPr>
        <w:spacing w:line="278" w:lineRule="auto"/>
        <w:jc w:val="left"/>
        <w:rPr>
          <w:rFonts w:ascii="Arial" w:hAnsi="Arial" w:cs="Arial"/>
          <w:sz w:val="24"/>
          <w:szCs w:val="24"/>
        </w:rPr>
      </w:pPr>
      <w:r w:rsidRPr="00D918E4">
        <w:rPr>
          <w:rFonts w:ascii="Arial" w:hAnsi="Arial" w:cs="Arial"/>
          <w:sz w:val="24"/>
          <w:szCs w:val="24"/>
        </w:rPr>
        <w:t>Other regions show smaller ranges.</w:t>
      </w:r>
    </w:p>
    <w:p w14:paraId="2975131B" w14:textId="466A7D6D" w:rsidR="00B60624" w:rsidRPr="00CF1F52" w:rsidRDefault="00B60624" w:rsidP="002315B8">
      <w:pPr>
        <w:pStyle w:val="ListParagraph"/>
        <w:numPr>
          <w:ilvl w:val="0"/>
          <w:numId w:val="15"/>
        </w:numPr>
        <w:spacing w:line="278" w:lineRule="auto"/>
        <w:rPr>
          <w:rFonts w:ascii="Arial" w:hAnsi="Arial" w:cs="Arial"/>
          <w:sz w:val="24"/>
          <w:szCs w:val="24"/>
        </w:rPr>
      </w:pPr>
      <w:r w:rsidRPr="00CF1F52">
        <w:rPr>
          <w:rFonts w:ascii="Arial" w:hAnsi="Arial" w:cs="Arial"/>
          <w:sz w:val="24"/>
          <w:szCs w:val="24"/>
        </w:rPr>
        <w:t xml:space="preserve">Western and Northern regions carry </w:t>
      </w:r>
      <w:r w:rsidRPr="00CF1F52">
        <w:rPr>
          <w:rFonts w:ascii="Arial" w:hAnsi="Arial" w:cs="Arial"/>
          <w:b/>
          <w:bCs/>
          <w:sz w:val="24"/>
          <w:szCs w:val="24"/>
        </w:rPr>
        <w:t>concentration risk</w:t>
      </w:r>
      <w:r w:rsidRPr="00CF1F52">
        <w:rPr>
          <w:rFonts w:ascii="Arial" w:hAnsi="Arial" w:cs="Arial"/>
          <w:sz w:val="24"/>
          <w:szCs w:val="24"/>
        </w:rPr>
        <w:t xml:space="preserve"> (few very large accounts drive totals).</w:t>
      </w:r>
    </w:p>
    <w:p w14:paraId="0B6AB6EC" w14:textId="1DA33790" w:rsidR="00B60624" w:rsidRPr="00D918E4" w:rsidRDefault="00CF0A50" w:rsidP="00CF0A50">
      <w:pPr>
        <w:pStyle w:val="Heading2"/>
        <w:tabs>
          <w:tab w:val="left" w:pos="263"/>
        </w:tabs>
        <w:spacing w:before="0" w:line="360" w:lineRule="auto"/>
        <w:ind w:left="283"/>
        <w:rPr>
          <w:rFonts w:ascii="Arial" w:hAnsi="Arial" w:cs="Arial"/>
          <w:color w:val="0070C0"/>
          <w:sz w:val="24"/>
          <w:szCs w:val="24"/>
        </w:rPr>
      </w:pPr>
      <w:r w:rsidRPr="00CF1F52">
        <w:rPr>
          <w:rFonts w:ascii="Arial" w:hAnsi="Arial" w:cs="Arial"/>
          <w:color w:val="0070C0"/>
          <w:sz w:val="24"/>
          <w:szCs w:val="24"/>
        </w:rPr>
        <w:t>9.</w:t>
      </w:r>
      <w:r w:rsidR="00BA1887" w:rsidRPr="00CF1F52">
        <w:rPr>
          <w:rFonts w:ascii="Arial" w:hAnsi="Arial" w:cs="Arial"/>
          <w:color w:val="0070C0"/>
          <w:sz w:val="24"/>
          <w:szCs w:val="24"/>
        </w:rPr>
        <w:t xml:space="preserve">3. </w:t>
      </w:r>
      <w:r w:rsidR="00B60624" w:rsidRPr="00D918E4">
        <w:rPr>
          <w:rFonts w:ascii="Arial" w:hAnsi="Arial" w:cs="Arial"/>
          <w:color w:val="0070C0"/>
          <w:sz w:val="24"/>
          <w:szCs w:val="24"/>
        </w:rPr>
        <w:t>Distribution (Geographic Lending Patterns)</w:t>
      </w:r>
    </w:p>
    <w:p w14:paraId="17F8337C" w14:textId="77777777" w:rsidR="00B60624" w:rsidRPr="00D918E4" w:rsidRDefault="00B60624" w:rsidP="002315B8">
      <w:pPr>
        <w:numPr>
          <w:ilvl w:val="0"/>
          <w:numId w:val="21"/>
        </w:numPr>
        <w:spacing w:line="278" w:lineRule="auto"/>
        <w:jc w:val="left"/>
        <w:rPr>
          <w:rFonts w:ascii="Arial" w:hAnsi="Arial" w:cs="Arial"/>
          <w:sz w:val="24"/>
          <w:szCs w:val="24"/>
        </w:rPr>
      </w:pPr>
      <w:r w:rsidRPr="00D918E4">
        <w:rPr>
          <w:rFonts w:ascii="Arial" w:hAnsi="Arial" w:cs="Arial"/>
          <w:b/>
          <w:bCs/>
          <w:sz w:val="24"/>
          <w:szCs w:val="24"/>
        </w:rPr>
        <w:t>Total Exposure (Sum Outstanding)</w:t>
      </w:r>
      <w:r w:rsidRPr="00D918E4">
        <w:rPr>
          <w:rFonts w:ascii="Arial" w:hAnsi="Arial" w:cs="Arial"/>
          <w:sz w:val="24"/>
          <w:szCs w:val="24"/>
        </w:rPr>
        <w:t>:</w:t>
      </w:r>
    </w:p>
    <w:p w14:paraId="27DBD4EB" w14:textId="3C6CAEBA" w:rsidR="00B60624" w:rsidRPr="00CF1F52" w:rsidRDefault="00B60624" w:rsidP="002315B8">
      <w:pPr>
        <w:numPr>
          <w:ilvl w:val="1"/>
          <w:numId w:val="24"/>
        </w:numPr>
        <w:spacing w:line="278" w:lineRule="auto"/>
        <w:jc w:val="left"/>
        <w:rPr>
          <w:rFonts w:ascii="Arial" w:hAnsi="Arial" w:cs="Arial"/>
          <w:sz w:val="24"/>
          <w:szCs w:val="24"/>
        </w:rPr>
      </w:pPr>
      <w:r w:rsidRPr="00D918E4">
        <w:rPr>
          <w:rFonts w:ascii="Arial" w:hAnsi="Arial" w:cs="Arial"/>
          <w:sz w:val="24"/>
          <w:szCs w:val="24"/>
        </w:rPr>
        <w:t>Southern Region: ~10,799,4</w:t>
      </w:r>
      <w:r w:rsidRPr="00CF1F52">
        <w:rPr>
          <w:rFonts w:ascii="Arial" w:hAnsi="Arial" w:cs="Arial"/>
          <w:sz w:val="24"/>
          <w:szCs w:val="24"/>
        </w:rPr>
        <w:t>69 (largest share).</w:t>
      </w:r>
    </w:p>
    <w:p w14:paraId="3784100A" w14:textId="77777777" w:rsidR="00B60624" w:rsidRPr="00B30F6F" w:rsidRDefault="00B60624" w:rsidP="002315B8">
      <w:pPr>
        <w:numPr>
          <w:ilvl w:val="1"/>
          <w:numId w:val="24"/>
        </w:numPr>
        <w:spacing w:line="278" w:lineRule="auto"/>
        <w:jc w:val="left"/>
        <w:rPr>
          <w:rFonts w:ascii="Arial" w:hAnsi="Arial" w:cs="Arial"/>
          <w:sz w:val="24"/>
          <w:szCs w:val="24"/>
        </w:rPr>
      </w:pPr>
      <w:r w:rsidRPr="00B30F6F">
        <w:rPr>
          <w:rFonts w:ascii="Arial" w:hAnsi="Arial" w:cs="Arial"/>
          <w:sz w:val="24"/>
          <w:szCs w:val="24"/>
        </w:rPr>
        <w:t>Western Region: ~10,716,662 (almost equal to Southern).</w:t>
      </w:r>
    </w:p>
    <w:p w14:paraId="60683336" w14:textId="77777777" w:rsidR="00B60624" w:rsidRPr="00B30F6F" w:rsidRDefault="00B60624" w:rsidP="002315B8">
      <w:pPr>
        <w:numPr>
          <w:ilvl w:val="1"/>
          <w:numId w:val="24"/>
        </w:numPr>
        <w:spacing w:line="278" w:lineRule="auto"/>
        <w:jc w:val="left"/>
        <w:rPr>
          <w:rFonts w:ascii="Arial" w:hAnsi="Arial" w:cs="Arial"/>
          <w:sz w:val="24"/>
          <w:szCs w:val="24"/>
        </w:rPr>
      </w:pPr>
      <w:r w:rsidRPr="00B30F6F">
        <w:rPr>
          <w:rFonts w:ascii="Arial" w:hAnsi="Arial" w:cs="Arial"/>
          <w:sz w:val="24"/>
          <w:szCs w:val="24"/>
        </w:rPr>
        <w:t>Northern Region: ~7,416,876.</w:t>
      </w:r>
    </w:p>
    <w:p w14:paraId="188187D2" w14:textId="77777777" w:rsidR="00B60624" w:rsidRPr="00B30F6F" w:rsidRDefault="00B60624" w:rsidP="002315B8">
      <w:pPr>
        <w:numPr>
          <w:ilvl w:val="1"/>
          <w:numId w:val="24"/>
        </w:numPr>
        <w:spacing w:line="278" w:lineRule="auto"/>
        <w:jc w:val="left"/>
        <w:rPr>
          <w:rFonts w:ascii="Arial" w:hAnsi="Arial" w:cs="Arial"/>
          <w:sz w:val="24"/>
          <w:szCs w:val="24"/>
        </w:rPr>
      </w:pPr>
      <w:r w:rsidRPr="00B30F6F">
        <w:rPr>
          <w:rFonts w:ascii="Arial" w:hAnsi="Arial" w:cs="Arial"/>
          <w:sz w:val="24"/>
          <w:szCs w:val="24"/>
        </w:rPr>
        <w:t>Central + Eastern combined: ~6,331,761.</w:t>
      </w:r>
    </w:p>
    <w:p w14:paraId="3C4437AA" w14:textId="77777777" w:rsidR="00B60624" w:rsidRPr="00B30F6F" w:rsidRDefault="00B60624" w:rsidP="002315B8">
      <w:pPr>
        <w:numPr>
          <w:ilvl w:val="1"/>
          <w:numId w:val="24"/>
        </w:numPr>
        <w:spacing w:line="278" w:lineRule="auto"/>
        <w:jc w:val="left"/>
        <w:rPr>
          <w:rFonts w:ascii="Arial" w:hAnsi="Arial" w:cs="Arial"/>
          <w:sz w:val="24"/>
          <w:szCs w:val="24"/>
        </w:rPr>
      </w:pPr>
      <w:r w:rsidRPr="00B30F6F">
        <w:rPr>
          <w:rFonts w:ascii="Arial" w:hAnsi="Arial" w:cs="Arial"/>
          <w:sz w:val="24"/>
          <w:szCs w:val="24"/>
        </w:rPr>
        <w:t>North Eastern: ~435,792 (smallest share).</w:t>
      </w:r>
    </w:p>
    <w:p w14:paraId="232B4290" w14:textId="28995962" w:rsidR="00B60624" w:rsidRPr="00B30F6F" w:rsidRDefault="00B60624" w:rsidP="002315B8">
      <w:pPr>
        <w:numPr>
          <w:ilvl w:val="1"/>
          <w:numId w:val="24"/>
        </w:numPr>
        <w:spacing w:line="278" w:lineRule="auto"/>
        <w:jc w:val="left"/>
        <w:rPr>
          <w:rFonts w:ascii="Arial" w:hAnsi="Arial" w:cs="Arial"/>
          <w:sz w:val="24"/>
          <w:szCs w:val="24"/>
        </w:rPr>
      </w:pPr>
      <w:r w:rsidRPr="00B30F6F">
        <w:rPr>
          <w:rFonts w:ascii="Arial" w:hAnsi="Arial" w:cs="Arial"/>
          <w:b/>
          <w:bCs/>
          <w:sz w:val="24"/>
          <w:szCs w:val="24"/>
        </w:rPr>
        <w:t>% of Grand Total (35,700,560)</w:t>
      </w:r>
      <w:r w:rsidRPr="00B30F6F">
        <w:rPr>
          <w:rFonts w:ascii="Arial" w:hAnsi="Arial" w:cs="Arial"/>
          <w:sz w:val="24"/>
          <w:szCs w:val="24"/>
        </w:rPr>
        <w:t>:</w:t>
      </w:r>
    </w:p>
    <w:p w14:paraId="4DA55B43" w14:textId="07AD50F1" w:rsidR="00B60624" w:rsidRPr="00B30F6F" w:rsidRDefault="00B60624" w:rsidP="002315B8">
      <w:pPr>
        <w:numPr>
          <w:ilvl w:val="1"/>
          <w:numId w:val="27"/>
        </w:numPr>
        <w:spacing w:line="278" w:lineRule="auto"/>
        <w:jc w:val="left"/>
        <w:rPr>
          <w:rFonts w:ascii="Arial" w:hAnsi="Arial" w:cs="Arial"/>
          <w:sz w:val="24"/>
          <w:szCs w:val="24"/>
        </w:rPr>
      </w:pPr>
      <w:r w:rsidRPr="00B30F6F">
        <w:rPr>
          <w:rFonts w:ascii="Arial" w:hAnsi="Arial" w:cs="Arial"/>
          <w:sz w:val="24"/>
          <w:szCs w:val="24"/>
        </w:rPr>
        <w:t xml:space="preserve">Lending is </w:t>
      </w:r>
      <w:r w:rsidRPr="00B30F6F">
        <w:rPr>
          <w:rFonts w:ascii="Arial" w:hAnsi="Arial" w:cs="Arial"/>
          <w:b/>
          <w:bCs/>
          <w:sz w:val="24"/>
          <w:szCs w:val="24"/>
        </w:rPr>
        <w:t>heavily concentrated in Southern + Western (≈60%)</w:t>
      </w:r>
      <w:r w:rsidRPr="00B30F6F">
        <w:rPr>
          <w:rFonts w:ascii="Arial" w:hAnsi="Arial" w:cs="Arial"/>
          <w:sz w:val="24"/>
          <w:szCs w:val="24"/>
        </w:rPr>
        <w:t>, while North Eastern is negligible.</w:t>
      </w:r>
    </w:p>
    <w:p w14:paraId="09F0815B" w14:textId="79237E7B" w:rsidR="009A47B4" w:rsidRPr="00D918E4" w:rsidRDefault="009A47B4" w:rsidP="009A47B4">
      <w:pPr>
        <w:pStyle w:val="Heading2"/>
        <w:tabs>
          <w:tab w:val="left" w:pos="263"/>
        </w:tabs>
        <w:spacing w:before="0" w:line="360" w:lineRule="auto"/>
        <w:ind w:left="283"/>
        <w:rPr>
          <w:rFonts w:ascii="Arial" w:hAnsi="Arial" w:cs="Arial"/>
          <w:color w:val="0070C0"/>
          <w:sz w:val="24"/>
          <w:szCs w:val="24"/>
        </w:rPr>
      </w:pPr>
      <w:r w:rsidRPr="00CF1F52">
        <w:rPr>
          <w:rFonts w:ascii="Arial" w:hAnsi="Arial" w:cs="Arial"/>
          <w:color w:val="0070C0"/>
          <w:sz w:val="24"/>
          <w:szCs w:val="24"/>
        </w:rPr>
        <w:t>9.3. Key Insights</w:t>
      </w:r>
    </w:p>
    <w:p w14:paraId="4B61F94D" w14:textId="77777777" w:rsidR="00B60624" w:rsidRPr="00B30F6F" w:rsidRDefault="00B60624" w:rsidP="002315B8">
      <w:pPr>
        <w:numPr>
          <w:ilvl w:val="1"/>
          <w:numId w:val="28"/>
        </w:numPr>
        <w:spacing w:line="278" w:lineRule="auto"/>
        <w:jc w:val="left"/>
        <w:rPr>
          <w:rFonts w:ascii="Arial" w:hAnsi="Arial" w:cs="Arial"/>
          <w:sz w:val="24"/>
          <w:szCs w:val="24"/>
        </w:rPr>
      </w:pPr>
      <w:r w:rsidRPr="00B30F6F">
        <w:rPr>
          <w:rFonts w:ascii="Arial" w:hAnsi="Arial" w:cs="Arial"/>
          <w:b/>
          <w:bCs/>
          <w:sz w:val="24"/>
          <w:szCs w:val="24"/>
        </w:rPr>
        <w:t>Top Performers (High exposure, moderate volatility)</w:t>
      </w:r>
      <w:r w:rsidRPr="00B30F6F">
        <w:rPr>
          <w:rFonts w:ascii="Arial" w:hAnsi="Arial" w:cs="Arial"/>
          <w:sz w:val="24"/>
          <w:szCs w:val="24"/>
        </w:rPr>
        <w:t>: Southern Region → large exposure, but StdDev lower than Western.</w:t>
      </w:r>
    </w:p>
    <w:p w14:paraId="08A5D97D" w14:textId="77777777" w:rsidR="00B60624" w:rsidRPr="00B30F6F" w:rsidRDefault="00B60624" w:rsidP="002315B8">
      <w:pPr>
        <w:numPr>
          <w:ilvl w:val="1"/>
          <w:numId w:val="28"/>
        </w:numPr>
        <w:spacing w:line="278" w:lineRule="auto"/>
        <w:jc w:val="left"/>
        <w:rPr>
          <w:rFonts w:ascii="Arial" w:hAnsi="Arial" w:cs="Arial"/>
          <w:sz w:val="24"/>
          <w:szCs w:val="24"/>
        </w:rPr>
      </w:pPr>
      <w:r w:rsidRPr="00B30F6F">
        <w:rPr>
          <w:rFonts w:ascii="Arial" w:hAnsi="Arial" w:cs="Arial"/>
          <w:b/>
          <w:bCs/>
          <w:sz w:val="24"/>
          <w:szCs w:val="24"/>
        </w:rPr>
        <w:lastRenderedPageBreak/>
        <w:t>Risky Growth (High exposure, high volatility)</w:t>
      </w:r>
      <w:r w:rsidRPr="00B30F6F">
        <w:rPr>
          <w:rFonts w:ascii="Arial" w:hAnsi="Arial" w:cs="Arial"/>
          <w:sz w:val="24"/>
          <w:szCs w:val="24"/>
        </w:rPr>
        <w:t>: Western Region → largest accounts, widest spread.</w:t>
      </w:r>
    </w:p>
    <w:p w14:paraId="5D955412" w14:textId="77777777" w:rsidR="00B60624" w:rsidRPr="00B30F6F" w:rsidRDefault="00B60624" w:rsidP="002315B8">
      <w:pPr>
        <w:numPr>
          <w:ilvl w:val="1"/>
          <w:numId w:val="28"/>
        </w:numPr>
        <w:spacing w:line="278" w:lineRule="auto"/>
        <w:jc w:val="left"/>
        <w:rPr>
          <w:rFonts w:ascii="Arial" w:hAnsi="Arial" w:cs="Arial"/>
          <w:sz w:val="24"/>
          <w:szCs w:val="24"/>
        </w:rPr>
      </w:pPr>
      <w:r w:rsidRPr="00B30F6F">
        <w:rPr>
          <w:rFonts w:ascii="Arial" w:hAnsi="Arial" w:cs="Arial"/>
          <w:b/>
          <w:bCs/>
          <w:sz w:val="24"/>
          <w:szCs w:val="24"/>
        </w:rPr>
        <w:t>Stable but Stagnant</w:t>
      </w:r>
      <w:r w:rsidRPr="00B30F6F">
        <w:rPr>
          <w:rFonts w:ascii="Arial" w:hAnsi="Arial" w:cs="Arial"/>
          <w:sz w:val="24"/>
          <w:szCs w:val="24"/>
        </w:rPr>
        <w:t>: North Eastern → small exposure, low volatility.</w:t>
      </w:r>
    </w:p>
    <w:p w14:paraId="44C71134" w14:textId="77777777" w:rsidR="00B60624" w:rsidRPr="00CF1F52" w:rsidRDefault="00B60624" w:rsidP="002315B8">
      <w:pPr>
        <w:numPr>
          <w:ilvl w:val="1"/>
          <w:numId w:val="28"/>
        </w:numPr>
        <w:spacing w:line="278" w:lineRule="auto"/>
        <w:jc w:val="left"/>
        <w:rPr>
          <w:rFonts w:ascii="Arial" w:hAnsi="Arial" w:cs="Arial"/>
          <w:sz w:val="24"/>
          <w:szCs w:val="24"/>
        </w:rPr>
      </w:pPr>
      <w:r w:rsidRPr="00B30F6F">
        <w:rPr>
          <w:rFonts w:ascii="Arial" w:hAnsi="Arial" w:cs="Arial"/>
          <w:b/>
          <w:bCs/>
          <w:sz w:val="24"/>
          <w:szCs w:val="24"/>
        </w:rPr>
        <w:t>Concentration Risk</w:t>
      </w:r>
      <w:r w:rsidRPr="00B30F6F">
        <w:rPr>
          <w:rFonts w:ascii="Arial" w:hAnsi="Arial" w:cs="Arial"/>
          <w:sz w:val="24"/>
          <w:szCs w:val="24"/>
        </w:rPr>
        <w:t>: Northern Region → very high max exposure (234,201), suggesting dependency on a few large borrowers.</w:t>
      </w:r>
    </w:p>
    <w:p w14:paraId="669C8AEB" w14:textId="46F5553B" w:rsidR="00E46B3A" w:rsidRPr="00CF1F52" w:rsidRDefault="00E46B3A" w:rsidP="002F1F14">
      <w:pPr>
        <w:pStyle w:val="Heading2"/>
        <w:tabs>
          <w:tab w:val="left" w:pos="263"/>
        </w:tabs>
        <w:spacing w:before="0" w:line="360" w:lineRule="auto"/>
        <w:ind w:left="283"/>
        <w:rPr>
          <w:rFonts w:ascii="Arial" w:hAnsi="Arial" w:cs="Arial"/>
          <w:color w:val="0070C0"/>
          <w:sz w:val="24"/>
          <w:szCs w:val="24"/>
        </w:rPr>
      </w:pPr>
      <w:r w:rsidRPr="00CF1F52">
        <w:rPr>
          <w:rFonts w:ascii="Arial" w:hAnsi="Arial" w:cs="Arial"/>
          <w:color w:val="0070C0"/>
          <w:sz w:val="24"/>
          <w:szCs w:val="24"/>
        </w:rPr>
        <w:t>9.4. Analysis By Pivot Tables</w:t>
      </w:r>
    </w:p>
    <w:p w14:paraId="6E2BDBBE" w14:textId="6116D163" w:rsidR="00E46B3A" w:rsidRPr="001E0A55" w:rsidRDefault="002F1F14" w:rsidP="001E0A55">
      <w:pPr>
        <w:pStyle w:val="ListParagraph"/>
        <w:ind w:left="567"/>
        <w:rPr>
          <w:rFonts w:ascii="Arial" w:hAnsi="Arial" w:cs="Arial"/>
          <w:b/>
          <w:bCs/>
          <w:color w:val="0070C0"/>
          <w:sz w:val="24"/>
          <w:szCs w:val="24"/>
        </w:rPr>
      </w:pPr>
      <w:r w:rsidRPr="001E0A55">
        <w:rPr>
          <w:rFonts w:ascii="Arial" w:hAnsi="Arial" w:cs="Arial"/>
          <w:b/>
          <w:bCs/>
          <w:color w:val="0070C0"/>
          <w:sz w:val="24"/>
          <w:szCs w:val="24"/>
        </w:rPr>
        <w:t>9.4.</w:t>
      </w:r>
      <w:r w:rsidR="001E0A55" w:rsidRPr="001E0A55">
        <w:rPr>
          <w:rFonts w:ascii="Arial" w:hAnsi="Arial" w:cs="Arial"/>
          <w:b/>
          <w:bCs/>
          <w:color w:val="0070C0"/>
          <w:sz w:val="24"/>
          <w:szCs w:val="24"/>
        </w:rPr>
        <w:t>1</w:t>
      </w:r>
      <w:r w:rsidRPr="001E0A55">
        <w:rPr>
          <w:rFonts w:ascii="Arial" w:hAnsi="Arial" w:cs="Arial"/>
          <w:b/>
          <w:bCs/>
          <w:color w:val="0070C0"/>
          <w:sz w:val="24"/>
          <w:szCs w:val="24"/>
        </w:rPr>
        <w:t xml:space="preserve"> </w:t>
      </w:r>
      <w:r w:rsidR="00EC1B30" w:rsidRPr="001E0A55">
        <w:rPr>
          <w:rFonts w:ascii="Arial" w:hAnsi="Arial" w:cs="Arial"/>
          <w:b/>
          <w:bCs/>
          <w:color w:val="0070C0"/>
          <w:sz w:val="24"/>
          <w:szCs w:val="24"/>
        </w:rPr>
        <w:t>CreditLimit_By_</w:t>
      </w:r>
      <w:r w:rsidR="00957B6E" w:rsidRPr="001E0A55">
        <w:rPr>
          <w:rFonts w:ascii="Arial" w:hAnsi="Arial" w:cs="Arial"/>
          <w:b/>
          <w:bCs/>
          <w:color w:val="0070C0"/>
          <w:sz w:val="24"/>
          <w:szCs w:val="24"/>
        </w:rPr>
        <w:t>Bank_And_Sector</w:t>
      </w:r>
    </w:p>
    <w:p w14:paraId="382A574C" w14:textId="5898A164" w:rsidR="00BD1066" w:rsidRPr="00CF1F52" w:rsidRDefault="00443B0E" w:rsidP="00BD1066">
      <w:pPr>
        <w:spacing w:line="278" w:lineRule="auto"/>
        <w:jc w:val="left"/>
        <w:rPr>
          <w:rFonts w:ascii="Arial" w:hAnsi="Arial" w:cs="Arial"/>
          <w:sz w:val="24"/>
          <w:szCs w:val="24"/>
        </w:rPr>
      </w:pPr>
      <w:r w:rsidRPr="00CF1F52">
        <w:rPr>
          <w:rFonts w:ascii="Arial" w:hAnsi="Arial" w:cs="Arial"/>
          <w:noProof/>
          <w:sz w:val="24"/>
          <w:szCs w:val="24"/>
        </w:rPr>
        <w:drawing>
          <wp:inline distT="0" distB="0" distL="0" distR="0" wp14:anchorId="72746765" wp14:editId="5F48874D">
            <wp:extent cx="5731510" cy="25107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510790"/>
                    </a:xfrm>
                    <a:prstGeom prst="rect">
                      <a:avLst/>
                    </a:prstGeom>
                  </pic:spPr>
                </pic:pic>
              </a:graphicData>
            </a:graphic>
          </wp:inline>
        </w:drawing>
      </w:r>
    </w:p>
    <w:p w14:paraId="216C0747" w14:textId="77777777" w:rsidR="001348B7" w:rsidRPr="00CF1F52" w:rsidRDefault="001348B7" w:rsidP="002315B8">
      <w:pPr>
        <w:pStyle w:val="ListParagraph"/>
        <w:numPr>
          <w:ilvl w:val="0"/>
          <w:numId w:val="28"/>
        </w:numPr>
        <w:spacing w:line="278" w:lineRule="auto"/>
        <w:jc w:val="left"/>
        <w:rPr>
          <w:rFonts w:ascii="Arial" w:hAnsi="Arial" w:cs="Arial"/>
          <w:b/>
          <w:sz w:val="24"/>
          <w:szCs w:val="24"/>
        </w:rPr>
      </w:pPr>
      <w:r w:rsidRPr="00CF1F52">
        <w:rPr>
          <w:rFonts w:ascii="Arial" w:hAnsi="Arial" w:cs="Arial"/>
          <w:b/>
          <w:sz w:val="24"/>
          <w:szCs w:val="24"/>
        </w:rPr>
        <w:t>Key Insights</w:t>
      </w:r>
    </w:p>
    <w:p w14:paraId="485FE929" w14:textId="77777777" w:rsidR="001348B7" w:rsidRPr="001348B7" w:rsidRDefault="001348B7" w:rsidP="002315B8">
      <w:pPr>
        <w:numPr>
          <w:ilvl w:val="0"/>
          <w:numId w:val="29"/>
        </w:numPr>
        <w:spacing w:line="278" w:lineRule="auto"/>
        <w:jc w:val="left"/>
        <w:rPr>
          <w:rFonts w:ascii="Arial" w:hAnsi="Arial" w:cs="Arial"/>
          <w:sz w:val="24"/>
          <w:szCs w:val="24"/>
        </w:rPr>
      </w:pPr>
      <w:r w:rsidRPr="001348B7">
        <w:rPr>
          <w:rFonts w:ascii="Arial" w:hAnsi="Arial" w:cs="Arial"/>
          <w:b/>
          <w:bCs/>
          <w:sz w:val="24"/>
          <w:szCs w:val="24"/>
        </w:rPr>
        <w:t>Overall Growth:</w:t>
      </w:r>
    </w:p>
    <w:p w14:paraId="2280B6D8" w14:textId="77777777" w:rsidR="001348B7" w:rsidRPr="001348B7" w:rsidRDefault="001348B7" w:rsidP="002315B8">
      <w:pPr>
        <w:numPr>
          <w:ilvl w:val="1"/>
          <w:numId w:val="31"/>
        </w:numPr>
        <w:spacing w:line="278" w:lineRule="auto"/>
        <w:jc w:val="left"/>
        <w:rPr>
          <w:rFonts w:ascii="Arial" w:hAnsi="Arial" w:cs="Arial"/>
          <w:sz w:val="24"/>
          <w:szCs w:val="24"/>
        </w:rPr>
      </w:pPr>
      <w:r w:rsidRPr="001348B7">
        <w:rPr>
          <w:rFonts w:ascii="Arial" w:hAnsi="Arial" w:cs="Arial"/>
          <w:sz w:val="24"/>
          <w:szCs w:val="24"/>
        </w:rPr>
        <w:t>Total Credit Limit increased from ~₹47.4 lakh crores in 2024 to ~₹55.5 lakh crores in 2025 (≈17% growth).</w:t>
      </w:r>
    </w:p>
    <w:p w14:paraId="3EF333FE" w14:textId="77777777" w:rsidR="001348B7" w:rsidRPr="001348B7" w:rsidRDefault="001348B7" w:rsidP="002315B8">
      <w:pPr>
        <w:numPr>
          <w:ilvl w:val="0"/>
          <w:numId w:val="29"/>
        </w:numPr>
        <w:spacing w:line="278" w:lineRule="auto"/>
        <w:jc w:val="left"/>
        <w:rPr>
          <w:rFonts w:ascii="Arial" w:hAnsi="Arial" w:cs="Arial"/>
          <w:sz w:val="24"/>
          <w:szCs w:val="24"/>
        </w:rPr>
      </w:pPr>
      <w:r w:rsidRPr="001348B7">
        <w:rPr>
          <w:rFonts w:ascii="Arial" w:hAnsi="Arial" w:cs="Arial"/>
          <w:b/>
          <w:bCs/>
          <w:sz w:val="24"/>
          <w:szCs w:val="24"/>
        </w:rPr>
        <w:t>Sectoral Leaders:</w:t>
      </w:r>
    </w:p>
    <w:p w14:paraId="131E619B" w14:textId="77777777" w:rsidR="001348B7" w:rsidRPr="001348B7" w:rsidRDefault="001348B7" w:rsidP="002315B8">
      <w:pPr>
        <w:numPr>
          <w:ilvl w:val="1"/>
          <w:numId w:val="31"/>
        </w:numPr>
        <w:spacing w:line="278" w:lineRule="auto"/>
        <w:jc w:val="left"/>
        <w:rPr>
          <w:rFonts w:ascii="Arial" w:hAnsi="Arial" w:cs="Arial"/>
          <w:sz w:val="24"/>
          <w:szCs w:val="24"/>
        </w:rPr>
      </w:pPr>
      <w:r w:rsidRPr="001348B7">
        <w:rPr>
          <w:rFonts w:ascii="Arial" w:hAnsi="Arial" w:cs="Arial"/>
          <w:b/>
          <w:bCs/>
          <w:sz w:val="24"/>
          <w:szCs w:val="24"/>
        </w:rPr>
        <w:t>Industry</w:t>
      </w:r>
      <w:r w:rsidRPr="001348B7">
        <w:rPr>
          <w:rFonts w:ascii="Arial" w:hAnsi="Arial" w:cs="Arial"/>
          <w:sz w:val="24"/>
          <w:szCs w:val="24"/>
        </w:rPr>
        <w:t xml:space="preserve"> and </w:t>
      </w:r>
      <w:r w:rsidRPr="001348B7">
        <w:rPr>
          <w:rFonts w:ascii="Arial" w:hAnsi="Arial" w:cs="Arial"/>
          <w:b/>
          <w:bCs/>
          <w:sz w:val="24"/>
          <w:szCs w:val="24"/>
        </w:rPr>
        <w:t>Personal Loans</w:t>
      </w:r>
      <w:r w:rsidRPr="001348B7">
        <w:rPr>
          <w:rFonts w:ascii="Arial" w:hAnsi="Arial" w:cs="Arial"/>
          <w:sz w:val="24"/>
          <w:szCs w:val="24"/>
        </w:rPr>
        <w:t xml:space="preserve"> dominate, together accounting for ~57% of total credit limits in 2025.</w:t>
      </w:r>
    </w:p>
    <w:p w14:paraId="0F9331FB" w14:textId="77777777" w:rsidR="001348B7" w:rsidRPr="001348B7" w:rsidRDefault="001348B7" w:rsidP="002315B8">
      <w:pPr>
        <w:numPr>
          <w:ilvl w:val="1"/>
          <w:numId w:val="31"/>
        </w:numPr>
        <w:spacing w:line="278" w:lineRule="auto"/>
        <w:jc w:val="left"/>
        <w:rPr>
          <w:rFonts w:ascii="Arial" w:hAnsi="Arial" w:cs="Arial"/>
          <w:sz w:val="24"/>
          <w:szCs w:val="24"/>
        </w:rPr>
      </w:pPr>
      <w:r w:rsidRPr="001348B7">
        <w:rPr>
          <w:rFonts w:ascii="Arial" w:hAnsi="Arial" w:cs="Arial"/>
          <w:b/>
          <w:bCs/>
          <w:sz w:val="24"/>
          <w:szCs w:val="24"/>
        </w:rPr>
        <w:t>Finance</w:t>
      </w:r>
      <w:r w:rsidRPr="001348B7">
        <w:rPr>
          <w:rFonts w:ascii="Arial" w:hAnsi="Arial" w:cs="Arial"/>
          <w:sz w:val="24"/>
          <w:szCs w:val="24"/>
        </w:rPr>
        <w:t xml:space="preserve"> and </w:t>
      </w:r>
      <w:r w:rsidRPr="001348B7">
        <w:rPr>
          <w:rFonts w:ascii="Arial" w:hAnsi="Arial" w:cs="Arial"/>
          <w:b/>
          <w:bCs/>
          <w:sz w:val="24"/>
          <w:szCs w:val="24"/>
        </w:rPr>
        <w:t>Trade</w:t>
      </w:r>
      <w:r w:rsidRPr="001348B7">
        <w:rPr>
          <w:rFonts w:ascii="Arial" w:hAnsi="Arial" w:cs="Arial"/>
          <w:sz w:val="24"/>
          <w:szCs w:val="24"/>
        </w:rPr>
        <w:t xml:space="preserve"> are mid</w:t>
      </w:r>
      <w:r w:rsidRPr="001348B7">
        <w:rPr>
          <w:rFonts w:ascii="Arial" w:hAnsi="Arial" w:cs="Arial"/>
          <w:sz w:val="24"/>
          <w:szCs w:val="24"/>
        </w:rPr>
        <w:noBreakHyphen/>
        <w:t xml:space="preserve">tier contributors, while </w:t>
      </w:r>
      <w:r w:rsidRPr="001348B7">
        <w:rPr>
          <w:rFonts w:ascii="Arial" w:hAnsi="Arial" w:cs="Arial"/>
          <w:b/>
          <w:bCs/>
          <w:sz w:val="24"/>
          <w:szCs w:val="24"/>
        </w:rPr>
        <w:t>Agriculture</w:t>
      </w:r>
      <w:r w:rsidRPr="001348B7">
        <w:rPr>
          <w:rFonts w:ascii="Arial" w:hAnsi="Arial" w:cs="Arial"/>
          <w:sz w:val="24"/>
          <w:szCs w:val="24"/>
        </w:rPr>
        <w:t xml:space="preserve"> remains relatively small.</w:t>
      </w:r>
    </w:p>
    <w:p w14:paraId="1CF12647" w14:textId="77777777" w:rsidR="001348B7" w:rsidRPr="001348B7" w:rsidRDefault="001348B7" w:rsidP="002315B8">
      <w:pPr>
        <w:numPr>
          <w:ilvl w:val="0"/>
          <w:numId w:val="29"/>
        </w:numPr>
        <w:spacing w:line="278" w:lineRule="auto"/>
        <w:jc w:val="left"/>
        <w:rPr>
          <w:rFonts w:ascii="Arial" w:hAnsi="Arial" w:cs="Arial"/>
          <w:sz w:val="24"/>
          <w:szCs w:val="24"/>
        </w:rPr>
      </w:pPr>
      <w:r w:rsidRPr="001348B7">
        <w:rPr>
          <w:rFonts w:ascii="Arial" w:hAnsi="Arial" w:cs="Arial"/>
          <w:b/>
          <w:bCs/>
          <w:sz w:val="24"/>
          <w:szCs w:val="24"/>
        </w:rPr>
        <w:t>Institutional Patterns:</w:t>
      </w:r>
    </w:p>
    <w:p w14:paraId="6A563F31" w14:textId="77777777" w:rsidR="001348B7" w:rsidRPr="001348B7" w:rsidRDefault="001348B7" w:rsidP="002315B8">
      <w:pPr>
        <w:numPr>
          <w:ilvl w:val="1"/>
          <w:numId w:val="32"/>
        </w:numPr>
        <w:spacing w:line="278" w:lineRule="auto"/>
        <w:jc w:val="left"/>
        <w:rPr>
          <w:rFonts w:ascii="Arial" w:hAnsi="Arial" w:cs="Arial"/>
          <w:sz w:val="24"/>
          <w:szCs w:val="24"/>
        </w:rPr>
      </w:pPr>
      <w:r w:rsidRPr="001348B7">
        <w:rPr>
          <w:rFonts w:ascii="Arial" w:hAnsi="Arial" w:cs="Arial"/>
          <w:b/>
          <w:bCs/>
          <w:sz w:val="24"/>
          <w:szCs w:val="24"/>
        </w:rPr>
        <w:t>Public Sector Banks</w:t>
      </w:r>
      <w:r w:rsidRPr="001348B7">
        <w:rPr>
          <w:rFonts w:ascii="Arial" w:hAnsi="Arial" w:cs="Arial"/>
          <w:sz w:val="24"/>
          <w:szCs w:val="24"/>
        </w:rPr>
        <w:t xml:space="preserve"> hold the largest share across regions, especially in Rural and Semi</w:t>
      </w:r>
      <w:r w:rsidRPr="001348B7">
        <w:rPr>
          <w:rFonts w:ascii="Arial" w:hAnsi="Arial" w:cs="Arial"/>
          <w:sz w:val="24"/>
          <w:szCs w:val="24"/>
        </w:rPr>
        <w:noBreakHyphen/>
        <w:t>Urban areas.</w:t>
      </w:r>
    </w:p>
    <w:p w14:paraId="09C32CFF" w14:textId="77777777" w:rsidR="001348B7" w:rsidRPr="001348B7" w:rsidRDefault="001348B7" w:rsidP="002315B8">
      <w:pPr>
        <w:numPr>
          <w:ilvl w:val="1"/>
          <w:numId w:val="32"/>
        </w:numPr>
        <w:spacing w:line="278" w:lineRule="auto"/>
        <w:jc w:val="left"/>
        <w:rPr>
          <w:rFonts w:ascii="Arial" w:hAnsi="Arial" w:cs="Arial"/>
          <w:sz w:val="24"/>
          <w:szCs w:val="24"/>
        </w:rPr>
      </w:pPr>
      <w:r w:rsidRPr="001348B7">
        <w:rPr>
          <w:rFonts w:ascii="Arial" w:hAnsi="Arial" w:cs="Arial"/>
          <w:b/>
          <w:bCs/>
          <w:sz w:val="24"/>
          <w:szCs w:val="24"/>
        </w:rPr>
        <w:t>Private Sector Banks</w:t>
      </w:r>
      <w:r w:rsidRPr="001348B7">
        <w:rPr>
          <w:rFonts w:ascii="Arial" w:hAnsi="Arial" w:cs="Arial"/>
          <w:sz w:val="24"/>
          <w:szCs w:val="24"/>
        </w:rPr>
        <w:t xml:space="preserve"> show strong growth in Metropolitan and Urban regions, surpassing Public Sector in some categories.</w:t>
      </w:r>
    </w:p>
    <w:p w14:paraId="1FA1DF39" w14:textId="44CB14ED" w:rsidR="001348B7" w:rsidRPr="001348B7" w:rsidRDefault="001348B7" w:rsidP="002315B8">
      <w:pPr>
        <w:numPr>
          <w:ilvl w:val="1"/>
          <w:numId w:val="32"/>
        </w:numPr>
        <w:spacing w:line="278" w:lineRule="auto"/>
        <w:jc w:val="left"/>
        <w:rPr>
          <w:rFonts w:ascii="Arial" w:hAnsi="Arial" w:cs="Arial"/>
          <w:sz w:val="24"/>
          <w:szCs w:val="24"/>
        </w:rPr>
      </w:pPr>
      <w:r w:rsidRPr="001348B7">
        <w:rPr>
          <w:rFonts w:ascii="Arial" w:hAnsi="Arial" w:cs="Arial"/>
          <w:b/>
          <w:bCs/>
          <w:sz w:val="24"/>
          <w:szCs w:val="24"/>
        </w:rPr>
        <w:t>Small Finance Banks</w:t>
      </w:r>
      <w:r w:rsidRPr="001348B7">
        <w:rPr>
          <w:rFonts w:ascii="Arial" w:hAnsi="Arial" w:cs="Arial"/>
          <w:sz w:val="24"/>
          <w:szCs w:val="24"/>
        </w:rPr>
        <w:t xml:space="preserve"> remain </w:t>
      </w:r>
      <w:r w:rsidR="002315B8">
        <w:rPr>
          <w:rFonts w:ascii="Arial" w:hAnsi="Arial" w:cs="Arial"/>
          <w:sz w:val="24"/>
          <w:szCs w:val="24"/>
        </w:rPr>
        <w:t>low</w:t>
      </w:r>
      <w:r w:rsidRPr="001348B7">
        <w:rPr>
          <w:rFonts w:ascii="Arial" w:hAnsi="Arial" w:cs="Arial"/>
          <w:sz w:val="24"/>
          <w:szCs w:val="24"/>
        </w:rPr>
        <w:t xml:space="preserve"> players but show steady expansion.</w:t>
      </w:r>
    </w:p>
    <w:p w14:paraId="1FFD441B" w14:textId="77777777" w:rsidR="001348B7" w:rsidRPr="001348B7" w:rsidRDefault="001348B7" w:rsidP="002315B8">
      <w:pPr>
        <w:numPr>
          <w:ilvl w:val="0"/>
          <w:numId w:val="29"/>
        </w:numPr>
        <w:spacing w:line="278" w:lineRule="auto"/>
        <w:jc w:val="left"/>
        <w:rPr>
          <w:rFonts w:ascii="Arial" w:hAnsi="Arial" w:cs="Arial"/>
          <w:sz w:val="24"/>
          <w:szCs w:val="24"/>
        </w:rPr>
      </w:pPr>
      <w:r w:rsidRPr="001348B7">
        <w:rPr>
          <w:rFonts w:ascii="Arial" w:hAnsi="Arial" w:cs="Arial"/>
          <w:b/>
          <w:bCs/>
          <w:sz w:val="24"/>
          <w:szCs w:val="24"/>
        </w:rPr>
        <w:t>Regional Distribution:</w:t>
      </w:r>
    </w:p>
    <w:p w14:paraId="522A94B4" w14:textId="77777777" w:rsidR="001348B7" w:rsidRPr="001348B7" w:rsidRDefault="001348B7" w:rsidP="002315B8">
      <w:pPr>
        <w:numPr>
          <w:ilvl w:val="1"/>
          <w:numId w:val="32"/>
        </w:numPr>
        <w:spacing w:line="278" w:lineRule="auto"/>
        <w:jc w:val="left"/>
        <w:rPr>
          <w:rFonts w:ascii="Arial" w:hAnsi="Arial" w:cs="Arial"/>
          <w:sz w:val="24"/>
          <w:szCs w:val="24"/>
        </w:rPr>
      </w:pPr>
      <w:r w:rsidRPr="001348B7">
        <w:rPr>
          <w:rFonts w:ascii="Arial" w:hAnsi="Arial" w:cs="Arial"/>
          <w:b/>
          <w:bCs/>
          <w:sz w:val="24"/>
          <w:szCs w:val="24"/>
        </w:rPr>
        <w:lastRenderedPageBreak/>
        <w:t>Metropolitan regions</w:t>
      </w:r>
      <w:r w:rsidRPr="001348B7">
        <w:rPr>
          <w:rFonts w:ascii="Arial" w:hAnsi="Arial" w:cs="Arial"/>
          <w:sz w:val="24"/>
          <w:szCs w:val="24"/>
        </w:rPr>
        <w:t xml:space="preserve"> account for the majority of credit limits, with Private and Public Sector banks leading.</w:t>
      </w:r>
    </w:p>
    <w:p w14:paraId="46978F83" w14:textId="77777777" w:rsidR="001348B7" w:rsidRPr="001348B7" w:rsidRDefault="001348B7" w:rsidP="002315B8">
      <w:pPr>
        <w:numPr>
          <w:ilvl w:val="1"/>
          <w:numId w:val="32"/>
        </w:numPr>
        <w:spacing w:line="278" w:lineRule="auto"/>
        <w:jc w:val="left"/>
        <w:rPr>
          <w:rFonts w:ascii="Arial" w:hAnsi="Arial" w:cs="Arial"/>
          <w:sz w:val="24"/>
          <w:szCs w:val="24"/>
        </w:rPr>
      </w:pPr>
      <w:r w:rsidRPr="001348B7">
        <w:rPr>
          <w:rFonts w:ascii="Arial" w:hAnsi="Arial" w:cs="Arial"/>
          <w:b/>
          <w:bCs/>
          <w:sz w:val="24"/>
          <w:szCs w:val="24"/>
        </w:rPr>
        <w:t>Urban regions</w:t>
      </w:r>
      <w:r w:rsidRPr="001348B7">
        <w:rPr>
          <w:rFonts w:ascii="Arial" w:hAnsi="Arial" w:cs="Arial"/>
          <w:sz w:val="24"/>
          <w:szCs w:val="24"/>
        </w:rPr>
        <w:t xml:space="preserve"> show strong growth, especially in Private Sector lending.</w:t>
      </w:r>
    </w:p>
    <w:p w14:paraId="3F69716D" w14:textId="77777777" w:rsidR="001348B7" w:rsidRPr="001348B7" w:rsidRDefault="001348B7" w:rsidP="002315B8">
      <w:pPr>
        <w:numPr>
          <w:ilvl w:val="1"/>
          <w:numId w:val="32"/>
        </w:numPr>
        <w:spacing w:line="278" w:lineRule="auto"/>
        <w:jc w:val="left"/>
        <w:rPr>
          <w:rFonts w:ascii="Arial" w:hAnsi="Arial" w:cs="Arial"/>
          <w:sz w:val="24"/>
          <w:szCs w:val="24"/>
        </w:rPr>
      </w:pPr>
      <w:r w:rsidRPr="001348B7">
        <w:rPr>
          <w:rFonts w:ascii="Arial" w:hAnsi="Arial" w:cs="Arial"/>
          <w:b/>
          <w:bCs/>
          <w:sz w:val="24"/>
          <w:szCs w:val="24"/>
        </w:rPr>
        <w:t>Rural regions</w:t>
      </w:r>
      <w:r w:rsidRPr="001348B7">
        <w:rPr>
          <w:rFonts w:ascii="Arial" w:hAnsi="Arial" w:cs="Arial"/>
          <w:sz w:val="24"/>
          <w:szCs w:val="24"/>
        </w:rPr>
        <w:t xml:space="preserve"> are dominated by Public Sector banks, reflecting government</w:t>
      </w:r>
      <w:r w:rsidRPr="001348B7">
        <w:rPr>
          <w:rFonts w:ascii="Arial" w:hAnsi="Arial" w:cs="Arial"/>
          <w:sz w:val="24"/>
          <w:szCs w:val="24"/>
        </w:rPr>
        <w:noBreakHyphen/>
        <w:t>driven credit penetration.</w:t>
      </w:r>
    </w:p>
    <w:p w14:paraId="4B313E76" w14:textId="77777777" w:rsidR="001348B7" w:rsidRPr="001348B7" w:rsidRDefault="001348B7" w:rsidP="002315B8">
      <w:pPr>
        <w:numPr>
          <w:ilvl w:val="1"/>
          <w:numId w:val="32"/>
        </w:numPr>
        <w:spacing w:line="278" w:lineRule="auto"/>
        <w:jc w:val="left"/>
        <w:rPr>
          <w:rFonts w:ascii="Arial" w:hAnsi="Arial" w:cs="Arial"/>
          <w:sz w:val="24"/>
          <w:szCs w:val="24"/>
        </w:rPr>
      </w:pPr>
      <w:r w:rsidRPr="001348B7">
        <w:rPr>
          <w:rFonts w:ascii="Arial" w:hAnsi="Arial" w:cs="Arial"/>
          <w:b/>
          <w:bCs/>
          <w:sz w:val="24"/>
          <w:szCs w:val="24"/>
        </w:rPr>
        <w:t>Semi</w:t>
      </w:r>
      <w:r w:rsidRPr="001348B7">
        <w:rPr>
          <w:rFonts w:ascii="Arial" w:hAnsi="Arial" w:cs="Arial"/>
          <w:b/>
          <w:bCs/>
          <w:sz w:val="24"/>
          <w:szCs w:val="24"/>
        </w:rPr>
        <w:noBreakHyphen/>
        <w:t>Urban regions</w:t>
      </w:r>
      <w:r w:rsidRPr="001348B7">
        <w:rPr>
          <w:rFonts w:ascii="Arial" w:hAnsi="Arial" w:cs="Arial"/>
          <w:sz w:val="24"/>
          <w:szCs w:val="24"/>
        </w:rPr>
        <w:t xml:space="preserve"> contribute significantly, with Public Sector banks maintaining leadership.</w:t>
      </w:r>
    </w:p>
    <w:p w14:paraId="3B3602DE" w14:textId="77777777" w:rsidR="001348B7" w:rsidRPr="001348B7" w:rsidRDefault="001348B7" w:rsidP="002315B8">
      <w:pPr>
        <w:numPr>
          <w:ilvl w:val="0"/>
          <w:numId w:val="29"/>
        </w:numPr>
        <w:spacing w:line="278" w:lineRule="auto"/>
        <w:jc w:val="left"/>
        <w:rPr>
          <w:rFonts w:ascii="Arial" w:hAnsi="Arial" w:cs="Arial"/>
          <w:sz w:val="24"/>
          <w:szCs w:val="24"/>
        </w:rPr>
      </w:pPr>
      <w:r w:rsidRPr="001348B7">
        <w:rPr>
          <w:rFonts w:ascii="Arial" w:hAnsi="Arial" w:cs="Arial"/>
          <w:b/>
          <w:bCs/>
          <w:sz w:val="24"/>
          <w:szCs w:val="24"/>
        </w:rPr>
        <w:t>Foreign Banks:</w:t>
      </w:r>
    </w:p>
    <w:p w14:paraId="257ECA13" w14:textId="272CA9F2" w:rsidR="00422202" w:rsidRDefault="001348B7" w:rsidP="002315B8">
      <w:pPr>
        <w:numPr>
          <w:ilvl w:val="0"/>
          <w:numId w:val="30"/>
        </w:numPr>
        <w:spacing w:line="278" w:lineRule="auto"/>
        <w:jc w:val="left"/>
        <w:rPr>
          <w:rFonts w:ascii="Arial" w:hAnsi="Arial" w:cs="Arial"/>
          <w:sz w:val="24"/>
          <w:szCs w:val="24"/>
        </w:rPr>
      </w:pPr>
      <w:r w:rsidRPr="001348B7">
        <w:rPr>
          <w:rFonts w:ascii="Arial" w:hAnsi="Arial" w:cs="Arial"/>
          <w:sz w:val="24"/>
          <w:szCs w:val="24"/>
        </w:rPr>
        <w:t>Their share is small but concentrated in Metropolitan and Urban regions, mainly in Industry</w:t>
      </w:r>
    </w:p>
    <w:p w14:paraId="181C582D" w14:textId="3F272873" w:rsidR="004B7583" w:rsidRPr="00AF543D" w:rsidRDefault="00051DEA" w:rsidP="00051DEA">
      <w:pPr>
        <w:ind w:left="567"/>
        <w:rPr>
          <w:rFonts w:ascii="Arial" w:hAnsi="Arial" w:cs="Arial"/>
          <w:b/>
          <w:bCs/>
          <w:color w:val="0070C0"/>
          <w:sz w:val="24"/>
          <w:szCs w:val="24"/>
        </w:rPr>
      </w:pPr>
      <w:r w:rsidRPr="00AF543D">
        <w:rPr>
          <w:rFonts w:ascii="Arial" w:hAnsi="Arial" w:cs="Arial"/>
          <w:b/>
          <w:bCs/>
          <w:color w:val="0070C0"/>
          <w:sz w:val="24"/>
          <w:szCs w:val="24"/>
        </w:rPr>
        <w:t xml:space="preserve">9.4.2. </w:t>
      </w:r>
      <w:r w:rsidR="004B7583" w:rsidRPr="00AF543D">
        <w:rPr>
          <w:rFonts w:ascii="Arial" w:hAnsi="Arial" w:cs="Arial"/>
          <w:b/>
          <w:color w:val="0070C0"/>
          <w:sz w:val="24"/>
          <w:szCs w:val="24"/>
        </w:rPr>
        <w:t>Exposure By Region and B</w:t>
      </w:r>
      <w:r w:rsidR="002F1F14" w:rsidRPr="00AF543D">
        <w:rPr>
          <w:rFonts w:ascii="Arial" w:hAnsi="Arial" w:cs="Arial"/>
          <w:b/>
          <w:color w:val="0070C0"/>
          <w:sz w:val="24"/>
          <w:szCs w:val="24"/>
        </w:rPr>
        <w:t>ank</w:t>
      </w:r>
    </w:p>
    <w:p w14:paraId="5F113B56" w14:textId="77777777" w:rsidR="00422202" w:rsidRPr="00422202" w:rsidRDefault="00422202" w:rsidP="002315B8">
      <w:pPr>
        <w:numPr>
          <w:ilvl w:val="0"/>
          <w:numId w:val="33"/>
        </w:numPr>
        <w:spacing w:line="278" w:lineRule="auto"/>
        <w:jc w:val="left"/>
        <w:rPr>
          <w:rFonts w:ascii="Arial" w:hAnsi="Arial" w:cs="Arial"/>
          <w:sz w:val="24"/>
          <w:szCs w:val="24"/>
        </w:rPr>
      </w:pPr>
      <w:r w:rsidRPr="00422202">
        <w:rPr>
          <w:rFonts w:ascii="Arial" w:hAnsi="Arial" w:cs="Arial"/>
          <w:b/>
          <w:bCs/>
          <w:sz w:val="24"/>
          <w:szCs w:val="24"/>
        </w:rPr>
        <w:t>Overall Scale:</w:t>
      </w:r>
    </w:p>
    <w:p w14:paraId="331E4D5A" w14:textId="77777777" w:rsidR="00422202" w:rsidRPr="00422202" w:rsidRDefault="00422202" w:rsidP="0070387C">
      <w:pPr>
        <w:numPr>
          <w:ilvl w:val="1"/>
          <w:numId w:val="35"/>
        </w:numPr>
        <w:spacing w:line="278" w:lineRule="auto"/>
        <w:jc w:val="left"/>
        <w:rPr>
          <w:rFonts w:ascii="Arial" w:hAnsi="Arial" w:cs="Arial"/>
          <w:sz w:val="24"/>
          <w:szCs w:val="24"/>
        </w:rPr>
      </w:pPr>
      <w:r w:rsidRPr="00422202">
        <w:rPr>
          <w:rFonts w:ascii="Arial" w:hAnsi="Arial" w:cs="Arial"/>
          <w:sz w:val="24"/>
          <w:szCs w:val="24"/>
        </w:rPr>
        <w:t>Total Outstanding = ₹35.7 lakh crores.</w:t>
      </w:r>
    </w:p>
    <w:p w14:paraId="2C8A39E2" w14:textId="77777777" w:rsidR="00422202" w:rsidRPr="00422202" w:rsidRDefault="00422202" w:rsidP="0070387C">
      <w:pPr>
        <w:numPr>
          <w:ilvl w:val="1"/>
          <w:numId w:val="35"/>
        </w:numPr>
        <w:spacing w:line="278" w:lineRule="auto"/>
        <w:jc w:val="left"/>
        <w:rPr>
          <w:rFonts w:ascii="Arial" w:hAnsi="Arial" w:cs="Arial"/>
          <w:sz w:val="24"/>
          <w:szCs w:val="24"/>
        </w:rPr>
      </w:pPr>
      <w:r w:rsidRPr="00422202">
        <w:rPr>
          <w:rFonts w:ascii="Arial" w:hAnsi="Arial" w:cs="Arial"/>
          <w:sz w:val="24"/>
          <w:szCs w:val="24"/>
        </w:rPr>
        <w:t>Metropolitan areas dominate (₹20.2 lakh crores, ~57% of total).</w:t>
      </w:r>
    </w:p>
    <w:p w14:paraId="4DDB51D1" w14:textId="77777777" w:rsidR="00422202" w:rsidRPr="00422202" w:rsidRDefault="00422202" w:rsidP="002315B8">
      <w:pPr>
        <w:numPr>
          <w:ilvl w:val="0"/>
          <w:numId w:val="33"/>
        </w:numPr>
        <w:spacing w:line="278" w:lineRule="auto"/>
        <w:jc w:val="left"/>
        <w:rPr>
          <w:rFonts w:ascii="Arial" w:hAnsi="Arial" w:cs="Arial"/>
          <w:sz w:val="24"/>
          <w:szCs w:val="24"/>
        </w:rPr>
      </w:pPr>
      <w:r w:rsidRPr="00422202">
        <w:rPr>
          <w:rFonts w:ascii="Arial" w:hAnsi="Arial" w:cs="Arial"/>
          <w:b/>
          <w:bCs/>
          <w:sz w:val="24"/>
          <w:szCs w:val="24"/>
        </w:rPr>
        <w:t>Regional Leaders:</w:t>
      </w:r>
    </w:p>
    <w:p w14:paraId="71DE9A09" w14:textId="77777777" w:rsidR="00422202" w:rsidRPr="00422202" w:rsidRDefault="00422202" w:rsidP="0070387C">
      <w:pPr>
        <w:numPr>
          <w:ilvl w:val="1"/>
          <w:numId w:val="35"/>
        </w:numPr>
        <w:spacing w:line="278" w:lineRule="auto"/>
        <w:jc w:val="left"/>
        <w:rPr>
          <w:rFonts w:ascii="Arial" w:hAnsi="Arial" w:cs="Arial"/>
          <w:sz w:val="24"/>
          <w:szCs w:val="24"/>
        </w:rPr>
      </w:pPr>
      <w:r w:rsidRPr="00422202">
        <w:rPr>
          <w:rFonts w:ascii="Arial" w:hAnsi="Arial" w:cs="Arial"/>
          <w:b/>
          <w:bCs/>
          <w:sz w:val="24"/>
          <w:szCs w:val="24"/>
        </w:rPr>
        <w:t>Western Region</w:t>
      </w:r>
      <w:r w:rsidRPr="00422202">
        <w:rPr>
          <w:rFonts w:ascii="Arial" w:hAnsi="Arial" w:cs="Arial"/>
          <w:sz w:val="24"/>
          <w:szCs w:val="24"/>
        </w:rPr>
        <w:t xml:space="preserve"> is the largest contributor (₹10.6 lakh crores), driven mainly by Maharashtra (~₹8.5 lakh crores).</w:t>
      </w:r>
    </w:p>
    <w:p w14:paraId="03C846AE" w14:textId="77777777" w:rsidR="00422202" w:rsidRPr="00422202" w:rsidRDefault="00422202" w:rsidP="0070387C">
      <w:pPr>
        <w:numPr>
          <w:ilvl w:val="1"/>
          <w:numId w:val="35"/>
        </w:numPr>
        <w:spacing w:line="278" w:lineRule="auto"/>
        <w:jc w:val="left"/>
        <w:rPr>
          <w:rFonts w:ascii="Arial" w:hAnsi="Arial" w:cs="Arial"/>
          <w:sz w:val="24"/>
          <w:szCs w:val="24"/>
        </w:rPr>
      </w:pPr>
      <w:r w:rsidRPr="00422202">
        <w:rPr>
          <w:rFonts w:ascii="Arial" w:hAnsi="Arial" w:cs="Arial"/>
          <w:b/>
          <w:bCs/>
          <w:sz w:val="24"/>
          <w:szCs w:val="24"/>
        </w:rPr>
        <w:t>Southern Region</w:t>
      </w:r>
      <w:r w:rsidRPr="00422202">
        <w:rPr>
          <w:rFonts w:ascii="Arial" w:hAnsi="Arial" w:cs="Arial"/>
          <w:sz w:val="24"/>
          <w:szCs w:val="24"/>
        </w:rPr>
        <w:t xml:space="preserve"> follows (~₹11.7 lakh crores), with Tamil Nadu (~₹3.3 lakh crores) and Karnataka (~₹2.6 lakh crores) as major hubs.</w:t>
      </w:r>
    </w:p>
    <w:p w14:paraId="354C3AFB" w14:textId="77777777" w:rsidR="00422202" w:rsidRPr="00422202" w:rsidRDefault="00422202" w:rsidP="0070387C">
      <w:pPr>
        <w:numPr>
          <w:ilvl w:val="1"/>
          <w:numId w:val="35"/>
        </w:numPr>
        <w:spacing w:line="278" w:lineRule="auto"/>
        <w:jc w:val="left"/>
        <w:rPr>
          <w:rFonts w:ascii="Arial" w:hAnsi="Arial" w:cs="Arial"/>
          <w:sz w:val="24"/>
          <w:szCs w:val="24"/>
        </w:rPr>
      </w:pPr>
      <w:r w:rsidRPr="00422202">
        <w:rPr>
          <w:rFonts w:ascii="Arial" w:hAnsi="Arial" w:cs="Arial"/>
          <w:b/>
          <w:bCs/>
          <w:sz w:val="24"/>
          <w:szCs w:val="24"/>
        </w:rPr>
        <w:t>Northern Region</w:t>
      </w:r>
      <w:r w:rsidRPr="00422202">
        <w:rPr>
          <w:rFonts w:ascii="Arial" w:hAnsi="Arial" w:cs="Arial"/>
          <w:sz w:val="24"/>
          <w:szCs w:val="24"/>
        </w:rPr>
        <w:t xml:space="preserve"> is significant (~₹7.2 lakh crores), heavily concentrated in Delhi (~₹3.5 lakh crores).</w:t>
      </w:r>
    </w:p>
    <w:p w14:paraId="487F8ABF" w14:textId="77777777" w:rsidR="00422202" w:rsidRDefault="00422202" w:rsidP="0070387C">
      <w:pPr>
        <w:numPr>
          <w:ilvl w:val="1"/>
          <w:numId w:val="35"/>
        </w:numPr>
        <w:spacing w:line="278" w:lineRule="auto"/>
        <w:jc w:val="left"/>
        <w:rPr>
          <w:rFonts w:ascii="Arial" w:hAnsi="Arial" w:cs="Arial"/>
          <w:sz w:val="24"/>
          <w:szCs w:val="24"/>
        </w:rPr>
      </w:pPr>
      <w:r w:rsidRPr="00422202">
        <w:rPr>
          <w:rFonts w:ascii="Arial" w:hAnsi="Arial" w:cs="Arial"/>
          <w:b/>
          <w:bCs/>
          <w:sz w:val="24"/>
          <w:szCs w:val="24"/>
        </w:rPr>
        <w:t>Eastern and North Eastern Regions</w:t>
      </w:r>
      <w:r w:rsidRPr="00422202">
        <w:rPr>
          <w:rFonts w:ascii="Arial" w:hAnsi="Arial" w:cs="Arial"/>
          <w:sz w:val="24"/>
          <w:szCs w:val="24"/>
        </w:rPr>
        <w:t xml:space="preserve"> are smaller contributors (~₹2.7 lakh crores combined).</w:t>
      </w:r>
    </w:p>
    <w:p w14:paraId="60A0EDB3" w14:textId="66926DDD" w:rsidR="0093031F" w:rsidRPr="00422202" w:rsidRDefault="009347C4" w:rsidP="0093031F">
      <w:pPr>
        <w:spacing w:line="278" w:lineRule="auto"/>
        <w:jc w:val="left"/>
        <w:rPr>
          <w:rFonts w:ascii="Arial" w:hAnsi="Arial" w:cs="Arial"/>
          <w:sz w:val="24"/>
          <w:szCs w:val="24"/>
        </w:rPr>
      </w:pPr>
      <w:r>
        <w:rPr>
          <w:rFonts w:ascii="Arial" w:hAnsi="Arial" w:cs="Arial"/>
          <w:sz w:val="24"/>
          <w:szCs w:val="24"/>
        </w:rPr>
        <w:lastRenderedPageBreak/>
        <w:t xml:space="preserve">        </w:t>
      </w:r>
      <w:r w:rsidR="0093031F" w:rsidRPr="0093031F">
        <w:rPr>
          <w:rFonts w:ascii="Arial" w:hAnsi="Arial" w:cs="Arial"/>
          <w:noProof/>
          <w:sz w:val="24"/>
          <w:szCs w:val="24"/>
        </w:rPr>
        <w:drawing>
          <wp:inline distT="0" distB="0" distL="0" distR="0" wp14:anchorId="54D55B4F" wp14:editId="36391473">
            <wp:extent cx="5349240" cy="33775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55461" cy="3381428"/>
                    </a:xfrm>
                    <a:prstGeom prst="rect">
                      <a:avLst/>
                    </a:prstGeom>
                  </pic:spPr>
                </pic:pic>
              </a:graphicData>
            </a:graphic>
          </wp:inline>
        </w:drawing>
      </w:r>
    </w:p>
    <w:p w14:paraId="5FFA99E0" w14:textId="77777777" w:rsidR="00422202" w:rsidRPr="00422202" w:rsidRDefault="00422202" w:rsidP="002315B8">
      <w:pPr>
        <w:numPr>
          <w:ilvl w:val="0"/>
          <w:numId w:val="33"/>
        </w:numPr>
        <w:spacing w:line="278" w:lineRule="auto"/>
        <w:jc w:val="left"/>
        <w:rPr>
          <w:rFonts w:ascii="Arial" w:hAnsi="Arial" w:cs="Arial"/>
          <w:sz w:val="24"/>
          <w:szCs w:val="24"/>
        </w:rPr>
      </w:pPr>
      <w:r w:rsidRPr="00422202">
        <w:rPr>
          <w:rFonts w:ascii="Arial" w:hAnsi="Arial" w:cs="Arial"/>
          <w:b/>
          <w:bCs/>
          <w:sz w:val="24"/>
          <w:szCs w:val="24"/>
        </w:rPr>
        <w:t>State-Level Concentration:</w:t>
      </w:r>
    </w:p>
    <w:p w14:paraId="2BEE1412" w14:textId="77777777" w:rsidR="00422202" w:rsidRPr="00422202" w:rsidRDefault="00422202" w:rsidP="0070387C">
      <w:pPr>
        <w:numPr>
          <w:ilvl w:val="1"/>
          <w:numId w:val="35"/>
        </w:numPr>
        <w:spacing w:line="278" w:lineRule="auto"/>
        <w:jc w:val="left"/>
        <w:rPr>
          <w:rFonts w:ascii="Arial" w:hAnsi="Arial" w:cs="Arial"/>
          <w:sz w:val="24"/>
          <w:szCs w:val="24"/>
        </w:rPr>
      </w:pPr>
      <w:r w:rsidRPr="00422202">
        <w:rPr>
          <w:rFonts w:ascii="Arial" w:hAnsi="Arial" w:cs="Arial"/>
          <w:b/>
          <w:bCs/>
          <w:sz w:val="24"/>
          <w:szCs w:val="24"/>
        </w:rPr>
        <w:t>Maharashtra, Tamil Nadu, Karnataka, Delhi, and Uttar Pradesh</w:t>
      </w:r>
      <w:r w:rsidRPr="00422202">
        <w:rPr>
          <w:rFonts w:ascii="Arial" w:hAnsi="Arial" w:cs="Arial"/>
          <w:sz w:val="24"/>
          <w:szCs w:val="24"/>
        </w:rPr>
        <w:t xml:space="preserve"> together account for the majority of national outstanding.</w:t>
      </w:r>
    </w:p>
    <w:p w14:paraId="6784CD61" w14:textId="77777777" w:rsidR="00422202" w:rsidRPr="00422202" w:rsidRDefault="00422202" w:rsidP="0070387C">
      <w:pPr>
        <w:numPr>
          <w:ilvl w:val="1"/>
          <w:numId w:val="35"/>
        </w:numPr>
        <w:spacing w:line="278" w:lineRule="auto"/>
        <w:jc w:val="left"/>
        <w:rPr>
          <w:rFonts w:ascii="Arial" w:hAnsi="Arial" w:cs="Arial"/>
          <w:sz w:val="24"/>
          <w:szCs w:val="24"/>
        </w:rPr>
      </w:pPr>
      <w:r w:rsidRPr="00422202">
        <w:rPr>
          <w:rFonts w:ascii="Arial" w:hAnsi="Arial" w:cs="Arial"/>
          <w:sz w:val="24"/>
          <w:szCs w:val="24"/>
        </w:rPr>
        <w:t>Kerala shows a unique pattern: very high Semi</w:t>
      </w:r>
      <w:r w:rsidRPr="00422202">
        <w:rPr>
          <w:rFonts w:ascii="Arial" w:hAnsi="Arial" w:cs="Arial"/>
          <w:sz w:val="24"/>
          <w:szCs w:val="24"/>
        </w:rPr>
        <w:noBreakHyphen/>
        <w:t>Urban and Rural exposure (~₹1.2 lakh crores total).</w:t>
      </w:r>
    </w:p>
    <w:p w14:paraId="6CC7F015" w14:textId="77777777" w:rsidR="00422202" w:rsidRPr="00422202" w:rsidRDefault="00422202" w:rsidP="002315B8">
      <w:pPr>
        <w:numPr>
          <w:ilvl w:val="0"/>
          <w:numId w:val="33"/>
        </w:numPr>
        <w:spacing w:line="278" w:lineRule="auto"/>
        <w:jc w:val="left"/>
        <w:rPr>
          <w:rFonts w:ascii="Arial" w:hAnsi="Arial" w:cs="Arial"/>
          <w:sz w:val="24"/>
          <w:szCs w:val="24"/>
        </w:rPr>
      </w:pPr>
      <w:r w:rsidRPr="00422202">
        <w:rPr>
          <w:rFonts w:ascii="Arial" w:hAnsi="Arial" w:cs="Arial"/>
          <w:b/>
          <w:bCs/>
          <w:sz w:val="24"/>
          <w:szCs w:val="24"/>
        </w:rPr>
        <w:t>Urban vs Rural Split:</w:t>
      </w:r>
    </w:p>
    <w:p w14:paraId="4D523A68" w14:textId="77777777" w:rsidR="00422202" w:rsidRPr="00422202" w:rsidRDefault="00422202" w:rsidP="0070387C">
      <w:pPr>
        <w:numPr>
          <w:ilvl w:val="1"/>
          <w:numId w:val="35"/>
        </w:numPr>
        <w:spacing w:line="278" w:lineRule="auto"/>
        <w:jc w:val="left"/>
        <w:rPr>
          <w:rFonts w:ascii="Arial" w:hAnsi="Arial" w:cs="Arial"/>
          <w:sz w:val="24"/>
          <w:szCs w:val="24"/>
        </w:rPr>
      </w:pPr>
      <w:r w:rsidRPr="00422202">
        <w:rPr>
          <w:rFonts w:ascii="Arial" w:hAnsi="Arial" w:cs="Arial"/>
          <w:sz w:val="24"/>
          <w:szCs w:val="24"/>
        </w:rPr>
        <w:t>Metropolitan + Urban together = ~77% of total outstanding.</w:t>
      </w:r>
    </w:p>
    <w:p w14:paraId="66978D75" w14:textId="77777777" w:rsidR="00422202" w:rsidRPr="00422202" w:rsidRDefault="00422202" w:rsidP="0070387C">
      <w:pPr>
        <w:numPr>
          <w:ilvl w:val="1"/>
          <w:numId w:val="35"/>
        </w:numPr>
        <w:spacing w:line="278" w:lineRule="auto"/>
        <w:jc w:val="left"/>
        <w:rPr>
          <w:rFonts w:ascii="Arial" w:hAnsi="Arial" w:cs="Arial"/>
          <w:sz w:val="24"/>
          <w:szCs w:val="24"/>
        </w:rPr>
      </w:pPr>
      <w:r w:rsidRPr="00422202">
        <w:rPr>
          <w:rFonts w:ascii="Arial" w:hAnsi="Arial" w:cs="Arial"/>
          <w:sz w:val="24"/>
          <w:szCs w:val="24"/>
        </w:rPr>
        <w:t>Rural + Semi</w:t>
      </w:r>
      <w:r w:rsidRPr="00422202">
        <w:rPr>
          <w:rFonts w:ascii="Arial" w:hAnsi="Arial" w:cs="Arial"/>
          <w:sz w:val="24"/>
          <w:szCs w:val="24"/>
        </w:rPr>
        <w:noBreakHyphen/>
        <w:t>Urban = ~23%, highlighting concentration in large cities.</w:t>
      </w:r>
    </w:p>
    <w:p w14:paraId="5F1AAE00" w14:textId="77777777" w:rsidR="00422202" w:rsidRPr="00422202" w:rsidRDefault="00422202" w:rsidP="002315B8">
      <w:pPr>
        <w:numPr>
          <w:ilvl w:val="0"/>
          <w:numId w:val="33"/>
        </w:numPr>
        <w:spacing w:line="278" w:lineRule="auto"/>
        <w:jc w:val="left"/>
        <w:rPr>
          <w:rFonts w:ascii="Arial" w:hAnsi="Arial" w:cs="Arial"/>
          <w:sz w:val="24"/>
          <w:szCs w:val="24"/>
        </w:rPr>
      </w:pPr>
      <w:r w:rsidRPr="00422202">
        <w:rPr>
          <w:rFonts w:ascii="Arial" w:hAnsi="Arial" w:cs="Arial"/>
          <w:b/>
          <w:bCs/>
          <w:sz w:val="24"/>
          <w:szCs w:val="24"/>
        </w:rPr>
        <w:t>Risk Concentration:</w:t>
      </w:r>
    </w:p>
    <w:p w14:paraId="767BF22B" w14:textId="559CD608" w:rsidR="00CF41A7" w:rsidRPr="00CF41A7" w:rsidRDefault="00422202" w:rsidP="002315B8">
      <w:pPr>
        <w:numPr>
          <w:ilvl w:val="0"/>
          <w:numId w:val="34"/>
        </w:numPr>
        <w:spacing w:line="278" w:lineRule="auto"/>
        <w:jc w:val="left"/>
        <w:rPr>
          <w:rFonts w:ascii="Arial" w:hAnsi="Arial" w:cs="Arial"/>
          <w:sz w:val="24"/>
          <w:szCs w:val="24"/>
        </w:rPr>
      </w:pPr>
      <w:r w:rsidRPr="00422202">
        <w:rPr>
          <w:rFonts w:ascii="Arial" w:hAnsi="Arial" w:cs="Arial"/>
          <w:sz w:val="24"/>
          <w:szCs w:val="24"/>
        </w:rPr>
        <w:t>Heavy reliance on a few states (Maharashtra, Tamil Nadu,</w:t>
      </w:r>
      <w:r w:rsidR="00CF41A7" w:rsidRPr="00CF41A7">
        <w:rPr>
          <w:rFonts w:ascii="Times New Roman" w:eastAsia="Times New Roman" w:hAnsi="Symbol" w:cs="Times New Roman"/>
          <w:sz w:val="24"/>
          <w:szCs w:val="24"/>
          <w:lang w:eastAsia="en-GB"/>
        </w:rPr>
        <w:t xml:space="preserve"> </w:t>
      </w:r>
      <w:r w:rsidR="00CF41A7" w:rsidRPr="00CF41A7">
        <w:rPr>
          <w:rFonts w:ascii="Arial" w:hAnsi="Arial" w:cs="Arial"/>
          <w:sz w:val="24"/>
          <w:szCs w:val="24"/>
        </w:rPr>
        <w:t>Karnataka, Delhi, UP).</w:t>
      </w:r>
    </w:p>
    <w:p w14:paraId="0C0661F9" w14:textId="77777777" w:rsidR="00CF41A7" w:rsidRPr="00CF41A7" w:rsidRDefault="00CF41A7" w:rsidP="002315B8">
      <w:pPr>
        <w:numPr>
          <w:ilvl w:val="0"/>
          <w:numId w:val="34"/>
        </w:numPr>
        <w:spacing w:line="278" w:lineRule="auto"/>
        <w:jc w:val="left"/>
        <w:rPr>
          <w:rFonts w:ascii="Arial" w:hAnsi="Arial" w:cs="Arial"/>
          <w:sz w:val="24"/>
          <w:szCs w:val="24"/>
        </w:rPr>
      </w:pPr>
      <w:r w:rsidRPr="00CF41A7">
        <w:rPr>
          <w:rFonts w:ascii="Arial" w:hAnsi="Arial" w:cs="Arial"/>
          <w:sz w:val="24"/>
          <w:szCs w:val="24"/>
        </w:rPr>
        <w:t>Smaller states/UTs (e.g., Sikkim, Lakshadweep, Goa) contribute marginally.</w:t>
      </w:r>
    </w:p>
    <w:p w14:paraId="3DBC16F1" w14:textId="5D4BE7CF" w:rsidR="001348B7" w:rsidRPr="00DB0238" w:rsidRDefault="00E52413" w:rsidP="00BD1066">
      <w:pPr>
        <w:numPr>
          <w:ilvl w:val="0"/>
          <w:numId w:val="34"/>
        </w:numPr>
        <w:spacing w:line="278" w:lineRule="auto"/>
        <w:jc w:val="left"/>
        <w:rPr>
          <w:rFonts w:ascii="Arial" w:hAnsi="Arial" w:cs="Arial"/>
          <w:sz w:val="24"/>
          <w:szCs w:val="24"/>
        </w:rPr>
      </w:pPr>
      <w:r>
        <w:rPr>
          <w:rFonts w:ascii="Arial" w:hAnsi="Arial" w:cs="Arial"/>
          <w:sz w:val="24"/>
          <w:szCs w:val="24"/>
        </w:rPr>
        <w:t>S</w:t>
      </w:r>
      <w:r w:rsidR="00CF41A7" w:rsidRPr="00CF41A7">
        <w:rPr>
          <w:rFonts w:ascii="Arial" w:hAnsi="Arial" w:cs="Arial"/>
          <w:sz w:val="24"/>
          <w:szCs w:val="24"/>
        </w:rPr>
        <w:t xml:space="preserve">ummary: </w:t>
      </w:r>
      <w:r w:rsidR="00CF41A7" w:rsidRPr="00CF41A7">
        <w:rPr>
          <w:rFonts w:ascii="Arial" w:hAnsi="Arial" w:cs="Arial"/>
          <w:b/>
          <w:bCs/>
          <w:sz w:val="24"/>
          <w:szCs w:val="24"/>
        </w:rPr>
        <w:t>Outstanding credit is highly concentrated in metropolitan hubs and a handful of large states, with Maharashtra and Tamil Nadu leading. Rural and semi</w:t>
      </w:r>
      <w:r w:rsidR="00CF41A7" w:rsidRPr="00CF41A7">
        <w:rPr>
          <w:rFonts w:ascii="Arial" w:hAnsi="Arial" w:cs="Arial"/>
          <w:b/>
          <w:bCs/>
          <w:sz w:val="24"/>
          <w:szCs w:val="24"/>
        </w:rPr>
        <w:noBreakHyphen/>
        <w:t xml:space="preserve">urban exposure is meaningful in Kerala and parts of Eastern India, but </w:t>
      </w:r>
      <w:r w:rsidR="0070387C" w:rsidRPr="00CF41A7">
        <w:rPr>
          <w:rFonts w:ascii="Arial" w:hAnsi="Arial" w:cs="Arial"/>
          <w:b/>
          <w:bCs/>
          <w:sz w:val="24"/>
          <w:szCs w:val="24"/>
        </w:rPr>
        <w:t>overall,</w:t>
      </w:r>
      <w:r w:rsidR="00CF41A7" w:rsidRPr="00CF41A7">
        <w:rPr>
          <w:rFonts w:ascii="Arial" w:hAnsi="Arial" w:cs="Arial"/>
          <w:b/>
          <w:bCs/>
          <w:sz w:val="24"/>
          <w:szCs w:val="24"/>
        </w:rPr>
        <w:t xml:space="preserve"> the portfolio is city</w:t>
      </w:r>
      <w:r w:rsidR="00CF41A7" w:rsidRPr="00CF41A7">
        <w:rPr>
          <w:rFonts w:ascii="Arial" w:hAnsi="Arial" w:cs="Arial"/>
          <w:b/>
          <w:bCs/>
          <w:sz w:val="24"/>
          <w:szCs w:val="24"/>
        </w:rPr>
        <w:noBreakHyphen/>
        <w:t>centric.</w:t>
      </w:r>
    </w:p>
    <w:p w14:paraId="223D19F1" w14:textId="2454CC3A" w:rsidR="007445FF" w:rsidRPr="00F023AE" w:rsidRDefault="007445FF" w:rsidP="00F023AE">
      <w:pPr>
        <w:ind w:left="360"/>
        <w:rPr>
          <w:rFonts w:ascii="Arial" w:hAnsi="Arial" w:cs="Arial"/>
          <w:b/>
          <w:bCs/>
          <w:color w:val="0070C0"/>
          <w:sz w:val="24"/>
          <w:szCs w:val="24"/>
        </w:rPr>
      </w:pPr>
      <w:r w:rsidRPr="00F023AE">
        <w:rPr>
          <w:rFonts w:ascii="Arial" w:hAnsi="Arial" w:cs="Arial"/>
          <w:b/>
          <w:bCs/>
          <w:color w:val="0070C0"/>
          <w:sz w:val="24"/>
          <w:szCs w:val="24"/>
        </w:rPr>
        <w:t xml:space="preserve">9.4.2. </w:t>
      </w:r>
      <w:r w:rsidRPr="00F023AE">
        <w:rPr>
          <w:rFonts w:ascii="Arial" w:hAnsi="Arial" w:cs="Arial"/>
          <w:b/>
          <w:color w:val="0070C0"/>
          <w:sz w:val="24"/>
          <w:szCs w:val="24"/>
        </w:rPr>
        <w:t xml:space="preserve">Analysis by </w:t>
      </w:r>
      <w:r w:rsidR="00F023AE" w:rsidRPr="00F023AE">
        <w:rPr>
          <w:rFonts w:ascii="Arial" w:hAnsi="Arial" w:cs="Arial"/>
          <w:b/>
          <w:color w:val="0070C0"/>
          <w:sz w:val="24"/>
          <w:szCs w:val="24"/>
        </w:rPr>
        <w:t>Scenario Manager</w:t>
      </w:r>
    </w:p>
    <w:p w14:paraId="4BF7DC25" w14:textId="77777777" w:rsidR="00AF08BE" w:rsidRPr="00AF08BE" w:rsidRDefault="00AF08BE" w:rsidP="006F057E">
      <w:pPr>
        <w:ind w:firstLine="360"/>
        <w:rPr>
          <w:rFonts w:ascii="Arial" w:hAnsi="Arial" w:cs="Arial"/>
          <w:b/>
          <w:bCs/>
          <w:sz w:val="24"/>
          <w:szCs w:val="24"/>
        </w:rPr>
      </w:pPr>
      <w:r w:rsidRPr="00AF08BE">
        <w:rPr>
          <w:rFonts w:ascii="Arial" w:hAnsi="Arial" w:cs="Arial"/>
          <w:b/>
          <w:bCs/>
          <w:sz w:val="24"/>
          <w:szCs w:val="24"/>
        </w:rPr>
        <w:t>Scenario Analysis Insights</w:t>
      </w:r>
    </w:p>
    <w:p w14:paraId="7EC5503A" w14:textId="77777777" w:rsidR="00AF08BE" w:rsidRPr="00AF08BE" w:rsidRDefault="00AF08BE" w:rsidP="00AF08BE">
      <w:pPr>
        <w:numPr>
          <w:ilvl w:val="0"/>
          <w:numId w:val="37"/>
        </w:numPr>
        <w:rPr>
          <w:rFonts w:ascii="Arial" w:hAnsi="Arial" w:cs="Arial"/>
          <w:sz w:val="24"/>
          <w:szCs w:val="24"/>
        </w:rPr>
      </w:pPr>
      <w:r w:rsidRPr="00AF08BE">
        <w:rPr>
          <w:rFonts w:ascii="Arial" w:hAnsi="Arial" w:cs="Arial"/>
          <w:sz w:val="24"/>
          <w:szCs w:val="24"/>
        </w:rPr>
        <w:t>Base Scenario (GrowthFactor = 1.10, UtilizationAdj = 0.00):</w:t>
      </w:r>
    </w:p>
    <w:p w14:paraId="72A3CAA3" w14:textId="77777777" w:rsidR="00AF08BE" w:rsidRPr="00AF08BE" w:rsidRDefault="00AF08BE" w:rsidP="00C848EF">
      <w:pPr>
        <w:numPr>
          <w:ilvl w:val="1"/>
          <w:numId w:val="41"/>
        </w:numPr>
        <w:rPr>
          <w:rFonts w:ascii="Arial" w:hAnsi="Arial" w:cs="Arial"/>
          <w:sz w:val="24"/>
          <w:szCs w:val="24"/>
        </w:rPr>
      </w:pPr>
      <w:r w:rsidRPr="00AF08BE">
        <w:rPr>
          <w:rFonts w:ascii="Arial" w:hAnsi="Arial" w:cs="Arial"/>
          <w:sz w:val="24"/>
          <w:szCs w:val="24"/>
        </w:rPr>
        <w:t>Assumes steady growth with no change in utilization.</w:t>
      </w:r>
    </w:p>
    <w:p w14:paraId="10A1BBF0" w14:textId="77777777" w:rsidR="00AF08BE" w:rsidRPr="00AF08BE" w:rsidRDefault="00AF08BE" w:rsidP="00C848EF">
      <w:pPr>
        <w:numPr>
          <w:ilvl w:val="1"/>
          <w:numId w:val="41"/>
        </w:numPr>
        <w:rPr>
          <w:rFonts w:ascii="Arial" w:hAnsi="Arial" w:cs="Arial"/>
          <w:sz w:val="24"/>
          <w:szCs w:val="24"/>
        </w:rPr>
      </w:pPr>
      <w:r w:rsidRPr="00AF08BE">
        <w:rPr>
          <w:rFonts w:ascii="Arial" w:hAnsi="Arial" w:cs="Arial"/>
          <w:sz w:val="24"/>
          <w:szCs w:val="24"/>
        </w:rPr>
        <w:lastRenderedPageBreak/>
        <w:t>Metropolitan and Urban segments remain the largest contributors, reflecting strong credit demand in city hubs.</w:t>
      </w:r>
    </w:p>
    <w:p w14:paraId="27B3AF3F" w14:textId="77777777" w:rsidR="00AF08BE" w:rsidRPr="00AF08BE" w:rsidRDefault="00AF08BE" w:rsidP="00C848EF">
      <w:pPr>
        <w:numPr>
          <w:ilvl w:val="1"/>
          <w:numId w:val="41"/>
        </w:numPr>
        <w:rPr>
          <w:rFonts w:ascii="Arial" w:hAnsi="Arial" w:cs="Arial"/>
          <w:sz w:val="24"/>
          <w:szCs w:val="24"/>
        </w:rPr>
      </w:pPr>
      <w:r w:rsidRPr="00AF08BE">
        <w:rPr>
          <w:rFonts w:ascii="Arial" w:hAnsi="Arial" w:cs="Arial"/>
          <w:sz w:val="24"/>
          <w:szCs w:val="24"/>
        </w:rPr>
        <w:t>Rural and Semi</w:t>
      </w:r>
      <w:r w:rsidRPr="00AF08BE">
        <w:rPr>
          <w:rFonts w:ascii="Arial" w:hAnsi="Arial" w:cs="Arial"/>
          <w:sz w:val="24"/>
          <w:szCs w:val="24"/>
        </w:rPr>
        <w:noBreakHyphen/>
        <w:t>Urban segments show moderate exposure, but utilization is already high, signaling saturation risk.</w:t>
      </w:r>
    </w:p>
    <w:p w14:paraId="3356BB2F" w14:textId="77777777" w:rsidR="00AF08BE" w:rsidRPr="00AF08BE" w:rsidRDefault="00AF08BE" w:rsidP="00AF08BE">
      <w:pPr>
        <w:numPr>
          <w:ilvl w:val="0"/>
          <w:numId w:val="37"/>
        </w:numPr>
        <w:rPr>
          <w:rFonts w:ascii="Arial" w:hAnsi="Arial" w:cs="Arial"/>
          <w:sz w:val="24"/>
          <w:szCs w:val="24"/>
        </w:rPr>
      </w:pPr>
      <w:r w:rsidRPr="00AF08BE">
        <w:rPr>
          <w:rFonts w:ascii="Arial" w:hAnsi="Arial" w:cs="Arial"/>
          <w:sz w:val="24"/>
          <w:szCs w:val="24"/>
        </w:rPr>
        <w:t>Optimistic Scenario (GrowthFactor = 1.00, UtilizationAdj = –0.02):</w:t>
      </w:r>
    </w:p>
    <w:p w14:paraId="2157D5DD" w14:textId="77777777" w:rsidR="00AF08BE" w:rsidRPr="00AF08BE" w:rsidRDefault="00AF08BE" w:rsidP="00C848EF">
      <w:pPr>
        <w:numPr>
          <w:ilvl w:val="1"/>
          <w:numId w:val="41"/>
        </w:numPr>
        <w:rPr>
          <w:rFonts w:ascii="Arial" w:hAnsi="Arial" w:cs="Arial"/>
          <w:sz w:val="24"/>
          <w:szCs w:val="24"/>
        </w:rPr>
      </w:pPr>
      <w:r w:rsidRPr="00AF08BE">
        <w:rPr>
          <w:rFonts w:ascii="Arial" w:hAnsi="Arial" w:cs="Arial"/>
          <w:sz w:val="24"/>
          <w:szCs w:val="24"/>
        </w:rPr>
        <w:t>Growth is flat, but utilization decreases slightly.</w:t>
      </w:r>
    </w:p>
    <w:p w14:paraId="41B44651" w14:textId="77777777" w:rsidR="00AF08BE" w:rsidRPr="00AF08BE" w:rsidRDefault="00AF08BE" w:rsidP="00C848EF">
      <w:pPr>
        <w:numPr>
          <w:ilvl w:val="1"/>
          <w:numId w:val="41"/>
        </w:numPr>
        <w:rPr>
          <w:rFonts w:ascii="Arial" w:hAnsi="Arial" w:cs="Arial"/>
          <w:sz w:val="24"/>
          <w:szCs w:val="24"/>
        </w:rPr>
      </w:pPr>
      <w:r w:rsidRPr="00AF08BE">
        <w:rPr>
          <w:rFonts w:ascii="Arial" w:hAnsi="Arial" w:cs="Arial"/>
          <w:sz w:val="24"/>
          <w:szCs w:val="24"/>
        </w:rPr>
        <w:t>This scenario suggests improved efficiency: borrowers are using less of their sanctioned limits, reducing risk.</w:t>
      </w:r>
    </w:p>
    <w:p w14:paraId="3BFA72C2" w14:textId="77777777" w:rsidR="00AF08BE" w:rsidRPr="00AF08BE" w:rsidRDefault="00AF08BE" w:rsidP="00C848EF">
      <w:pPr>
        <w:numPr>
          <w:ilvl w:val="1"/>
          <w:numId w:val="41"/>
        </w:numPr>
        <w:rPr>
          <w:rFonts w:ascii="Arial" w:hAnsi="Arial" w:cs="Arial"/>
          <w:sz w:val="24"/>
          <w:szCs w:val="24"/>
        </w:rPr>
      </w:pPr>
      <w:r w:rsidRPr="00AF08BE">
        <w:rPr>
          <w:rFonts w:ascii="Arial" w:hAnsi="Arial" w:cs="Arial"/>
          <w:sz w:val="24"/>
          <w:szCs w:val="24"/>
        </w:rPr>
        <w:t>Metropolitan and Urban segments benefit most, as lower utilization balances their high exposure.</w:t>
      </w:r>
    </w:p>
    <w:p w14:paraId="12115472" w14:textId="77777777" w:rsidR="00AF08BE" w:rsidRPr="00AF08BE" w:rsidRDefault="00AF08BE" w:rsidP="00C848EF">
      <w:pPr>
        <w:numPr>
          <w:ilvl w:val="1"/>
          <w:numId w:val="41"/>
        </w:numPr>
        <w:rPr>
          <w:rFonts w:ascii="Arial" w:hAnsi="Arial" w:cs="Arial"/>
          <w:sz w:val="24"/>
          <w:szCs w:val="24"/>
        </w:rPr>
      </w:pPr>
      <w:r w:rsidRPr="00AF08BE">
        <w:rPr>
          <w:rFonts w:ascii="Arial" w:hAnsi="Arial" w:cs="Arial"/>
          <w:sz w:val="24"/>
          <w:szCs w:val="24"/>
        </w:rPr>
        <w:t>Rural and Semi</w:t>
      </w:r>
      <w:r w:rsidRPr="00AF08BE">
        <w:rPr>
          <w:rFonts w:ascii="Arial" w:hAnsi="Arial" w:cs="Arial"/>
          <w:sz w:val="24"/>
          <w:szCs w:val="24"/>
        </w:rPr>
        <w:noBreakHyphen/>
        <w:t>Urban segments still show very high utilization, indicating limited room for expansion.</w:t>
      </w:r>
    </w:p>
    <w:p w14:paraId="3DE15655" w14:textId="77777777" w:rsidR="00AF08BE" w:rsidRPr="00AF08BE" w:rsidRDefault="00AF08BE" w:rsidP="00AF08BE">
      <w:pPr>
        <w:numPr>
          <w:ilvl w:val="0"/>
          <w:numId w:val="37"/>
        </w:numPr>
        <w:rPr>
          <w:rFonts w:ascii="Arial" w:hAnsi="Arial" w:cs="Arial"/>
          <w:sz w:val="24"/>
          <w:szCs w:val="24"/>
        </w:rPr>
      </w:pPr>
      <w:r w:rsidRPr="00AF08BE">
        <w:rPr>
          <w:rFonts w:ascii="Arial" w:hAnsi="Arial" w:cs="Arial"/>
          <w:sz w:val="24"/>
          <w:szCs w:val="24"/>
        </w:rPr>
        <w:t>Stress Scenario (GrowthFactor = 0.90, UtilizationAdj = +0.05):</w:t>
      </w:r>
    </w:p>
    <w:p w14:paraId="08B9C835" w14:textId="77777777" w:rsidR="00AF08BE" w:rsidRPr="00AF08BE" w:rsidRDefault="00AF08BE" w:rsidP="00AF08BE">
      <w:pPr>
        <w:numPr>
          <w:ilvl w:val="0"/>
          <w:numId w:val="38"/>
        </w:numPr>
        <w:rPr>
          <w:rFonts w:ascii="Arial" w:hAnsi="Arial" w:cs="Arial"/>
          <w:sz w:val="24"/>
          <w:szCs w:val="24"/>
        </w:rPr>
      </w:pPr>
      <w:r w:rsidRPr="00AF08BE">
        <w:rPr>
          <w:rFonts w:ascii="Arial" w:hAnsi="Arial" w:cs="Arial"/>
          <w:sz w:val="24"/>
          <w:szCs w:val="24"/>
        </w:rPr>
        <w:t>Growth slows, while utilization rises.</w:t>
      </w:r>
    </w:p>
    <w:p w14:paraId="3F21559A" w14:textId="77777777" w:rsidR="00AF08BE" w:rsidRPr="00AF08BE" w:rsidRDefault="00AF08BE" w:rsidP="00AF08BE">
      <w:pPr>
        <w:numPr>
          <w:ilvl w:val="0"/>
          <w:numId w:val="38"/>
        </w:numPr>
        <w:rPr>
          <w:rFonts w:ascii="Arial" w:hAnsi="Arial" w:cs="Arial"/>
          <w:sz w:val="24"/>
          <w:szCs w:val="24"/>
        </w:rPr>
      </w:pPr>
      <w:r w:rsidRPr="00AF08BE">
        <w:rPr>
          <w:rFonts w:ascii="Arial" w:hAnsi="Arial" w:cs="Arial"/>
          <w:sz w:val="24"/>
          <w:szCs w:val="24"/>
        </w:rPr>
        <w:t>Rural and Semi</w:t>
      </w:r>
      <w:r w:rsidRPr="00AF08BE">
        <w:rPr>
          <w:rFonts w:ascii="Arial" w:hAnsi="Arial" w:cs="Arial"/>
          <w:sz w:val="24"/>
          <w:szCs w:val="24"/>
        </w:rPr>
        <w:noBreakHyphen/>
        <w:t>Urban segments become particularly vulnerable, as their utilization rates spike further.</w:t>
      </w:r>
    </w:p>
    <w:p w14:paraId="7CDDD154" w14:textId="77777777" w:rsidR="00AF08BE" w:rsidRPr="00AF08BE" w:rsidRDefault="00AF08BE" w:rsidP="00AF08BE">
      <w:pPr>
        <w:numPr>
          <w:ilvl w:val="0"/>
          <w:numId w:val="38"/>
        </w:numPr>
        <w:rPr>
          <w:rFonts w:ascii="Arial" w:hAnsi="Arial" w:cs="Arial"/>
          <w:sz w:val="24"/>
          <w:szCs w:val="24"/>
        </w:rPr>
      </w:pPr>
      <w:r w:rsidRPr="00AF08BE">
        <w:rPr>
          <w:rFonts w:ascii="Arial" w:hAnsi="Arial" w:cs="Arial"/>
          <w:sz w:val="24"/>
          <w:szCs w:val="24"/>
        </w:rPr>
        <w:t>Metropolitan exposure remains large, but stress conditions amplify volatility.</w:t>
      </w:r>
    </w:p>
    <w:p w14:paraId="64B4824B" w14:textId="6431C02F" w:rsidR="00AF08BE" w:rsidRPr="005624BE" w:rsidRDefault="005624BE" w:rsidP="005624BE">
      <w:pPr>
        <w:pStyle w:val="ListParagraph"/>
        <w:numPr>
          <w:ilvl w:val="0"/>
          <w:numId w:val="40"/>
        </w:numPr>
        <w:rPr>
          <w:rFonts w:ascii="Arial" w:hAnsi="Arial" w:cs="Arial"/>
          <w:b/>
          <w:bCs/>
          <w:iCs/>
          <w:sz w:val="24"/>
          <w:szCs w:val="24"/>
        </w:rPr>
      </w:pPr>
      <w:r w:rsidRPr="005624BE">
        <w:rPr>
          <w:rFonts w:ascii="Segoe UI Emoji" w:hAnsi="Segoe UI Emoji" w:cs="Segoe UI Emoji"/>
          <w:b/>
          <w:bCs/>
          <w:iCs/>
          <w:sz w:val="24"/>
          <w:szCs w:val="24"/>
        </w:rPr>
        <w:t>Summary</w:t>
      </w:r>
    </w:p>
    <w:p w14:paraId="7BF75DF8" w14:textId="77777777" w:rsidR="00AF08BE" w:rsidRPr="00AF08BE" w:rsidRDefault="00AF08BE" w:rsidP="00AF08BE">
      <w:pPr>
        <w:numPr>
          <w:ilvl w:val="0"/>
          <w:numId w:val="39"/>
        </w:numPr>
        <w:rPr>
          <w:rFonts w:ascii="Arial" w:hAnsi="Arial" w:cs="Arial"/>
          <w:sz w:val="24"/>
          <w:szCs w:val="24"/>
        </w:rPr>
      </w:pPr>
      <w:r w:rsidRPr="00AF08BE">
        <w:rPr>
          <w:rFonts w:ascii="Arial" w:hAnsi="Arial" w:cs="Arial"/>
          <w:sz w:val="24"/>
          <w:szCs w:val="24"/>
        </w:rPr>
        <w:t>Metropolitan &amp; Urban → dominate exposure; optimistic scenario reduces risk slightly, but stress conditions could magnify volatility.</w:t>
      </w:r>
    </w:p>
    <w:p w14:paraId="5BDCF46B" w14:textId="77777777" w:rsidR="00AF08BE" w:rsidRPr="00AF08BE" w:rsidRDefault="00AF08BE" w:rsidP="00AF08BE">
      <w:pPr>
        <w:numPr>
          <w:ilvl w:val="0"/>
          <w:numId w:val="39"/>
        </w:numPr>
        <w:rPr>
          <w:rFonts w:ascii="Arial" w:hAnsi="Arial" w:cs="Arial"/>
          <w:sz w:val="24"/>
          <w:szCs w:val="24"/>
        </w:rPr>
      </w:pPr>
      <w:r w:rsidRPr="00AF08BE">
        <w:rPr>
          <w:rFonts w:ascii="Arial" w:hAnsi="Arial" w:cs="Arial"/>
          <w:sz w:val="24"/>
          <w:szCs w:val="24"/>
        </w:rPr>
        <w:t>Rural &amp; Semi</w:t>
      </w:r>
      <w:r w:rsidRPr="00AF08BE">
        <w:rPr>
          <w:rFonts w:ascii="Arial" w:hAnsi="Arial" w:cs="Arial"/>
          <w:sz w:val="24"/>
          <w:szCs w:val="24"/>
        </w:rPr>
        <w:noBreakHyphen/>
        <w:t>Urban → already high utilization; stress scenario pushes them into riskier territory, while optimistic scenario offers little relief.</w:t>
      </w:r>
    </w:p>
    <w:p w14:paraId="46999A7E" w14:textId="77777777" w:rsidR="00AF08BE" w:rsidRPr="00AF08BE" w:rsidRDefault="00AF08BE" w:rsidP="00AF08BE">
      <w:pPr>
        <w:numPr>
          <w:ilvl w:val="0"/>
          <w:numId w:val="39"/>
        </w:numPr>
        <w:rPr>
          <w:rFonts w:ascii="Arial" w:hAnsi="Arial" w:cs="Arial"/>
          <w:sz w:val="24"/>
          <w:szCs w:val="24"/>
        </w:rPr>
      </w:pPr>
      <w:r w:rsidRPr="00AF08BE">
        <w:rPr>
          <w:rFonts w:ascii="Arial" w:hAnsi="Arial" w:cs="Arial"/>
          <w:sz w:val="24"/>
          <w:szCs w:val="24"/>
        </w:rPr>
        <w:t>Portfolio Sensitivity → utilization is the critical lever: small adjustments (+/–2–5%) significantly change risk outlook.</w:t>
      </w:r>
    </w:p>
    <w:p w14:paraId="6337BCC7" w14:textId="0AE99887" w:rsidR="00F023AE" w:rsidRPr="00DC2377" w:rsidRDefault="00AF08BE" w:rsidP="002B6D6B">
      <w:pPr>
        <w:numPr>
          <w:ilvl w:val="0"/>
          <w:numId w:val="39"/>
        </w:numPr>
        <w:rPr>
          <w:rFonts w:ascii="Arial" w:hAnsi="Arial" w:cs="Arial"/>
          <w:sz w:val="24"/>
          <w:szCs w:val="24"/>
        </w:rPr>
      </w:pPr>
      <w:r w:rsidRPr="00AF08BE">
        <w:rPr>
          <w:rFonts w:ascii="Arial" w:hAnsi="Arial" w:cs="Arial"/>
          <w:sz w:val="24"/>
          <w:szCs w:val="24"/>
        </w:rPr>
        <w:t>Strategic Implication → diversify exposure away from high</w:t>
      </w:r>
      <w:r w:rsidRPr="00AF08BE">
        <w:rPr>
          <w:rFonts w:ascii="Arial" w:hAnsi="Arial" w:cs="Arial"/>
          <w:sz w:val="24"/>
          <w:szCs w:val="24"/>
        </w:rPr>
        <w:noBreakHyphen/>
        <w:t>utilization rural/semi</w:t>
      </w:r>
      <w:r w:rsidRPr="00AF08BE">
        <w:rPr>
          <w:rFonts w:ascii="Arial" w:hAnsi="Arial" w:cs="Arial"/>
          <w:sz w:val="24"/>
          <w:szCs w:val="24"/>
        </w:rPr>
        <w:noBreakHyphen/>
        <w:t>urban accounts, and monitor large metropolitan borrowers under stress conditions</w:t>
      </w:r>
      <w:r w:rsidR="00DC2377" w:rsidRPr="00DC2377">
        <w:rPr>
          <w:rFonts w:ascii="Arial" w:hAnsi="Arial" w:cs="Arial"/>
          <w:sz w:val="24"/>
          <w:szCs w:val="24"/>
        </w:rPr>
        <w:t>.</w:t>
      </w:r>
    </w:p>
    <w:p w14:paraId="027F421D" w14:textId="3ADD2483" w:rsidR="002B6D6B" w:rsidRPr="00B711AA" w:rsidRDefault="00D96FB8" w:rsidP="00B711AA">
      <w:pPr>
        <w:pStyle w:val="ListParagraph"/>
        <w:numPr>
          <w:ilvl w:val="0"/>
          <w:numId w:val="39"/>
        </w:numPr>
        <w:rPr>
          <w:rFonts w:ascii="Arial" w:hAnsi="Arial" w:cs="Arial"/>
          <w:b/>
          <w:bCs/>
          <w:color w:val="0070C0"/>
          <w:sz w:val="24"/>
          <w:szCs w:val="24"/>
        </w:rPr>
      </w:pPr>
      <w:r w:rsidRPr="00B711AA">
        <w:rPr>
          <w:rFonts w:ascii="Arial" w:hAnsi="Arial" w:cs="Arial"/>
          <w:b/>
          <w:bCs/>
          <w:color w:val="0070C0"/>
          <w:sz w:val="24"/>
          <w:szCs w:val="24"/>
        </w:rPr>
        <w:t>Scenario Sheet:</w:t>
      </w:r>
    </w:p>
    <w:p w14:paraId="2104633F" w14:textId="62C377F9" w:rsidR="002B6D6B" w:rsidRDefault="00B9573E" w:rsidP="002B6D6B">
      <w:pPr>
        <w:rPr>
          <w:rFonts w:ascii="Arial" w:hAnsi="Arial" w:cs="Arial"/>
          <w:b/>
          <w:bCs/>
          <w:color w:val="0070C0"/>
          <w:sz w:val="24"/>
          <w:szCs w:val="24"/>
        </w:rPr>
      </w:pPr>
      <w:r>
        <w:rPr>
          <w:rFonts w:ascii="Arial" w:hAnsi="Arial" w:cs="Arial"/>
          <w:b/>
          <w:bCs/>
          <w:color w:val="0070C0"/>
          <w:sz w:val="24"/>
          <w:szCs w:val="24"/>
        </w:rPr>
        <w:t xml:space="preserve">           </w:t>
      </w:r>
      <w:r w:rsidR="002B6D6B" w:rsidRPr="002B6D6B">
        <w:rPr>
          <w:rFonts w:ascii="Arial" w:hAnsi="Arial" w:cs="Arial"/>
          <w:b/>
          <w:bCs/>
          <w:noProof/>
          <w:color w:val="0070C0"/>
          <w:sz w:val="24"/>
          <w:szCs w:val="24"/>
        </w:rPr>
        <w:drawing>
          <wp:inline distT="0" distB="0" distL="0" distR="0" wp14:anchorId="4173E7BD" wp14:editId="18FE5FA3">
            <wp:extent cx="5227320" cy="1402099"/>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49798" cy="1408128"/>
                    </a:xfrm>
                    <a:prstGeom prst="rect">
                      <a:avLst/>
                    </a:prstGeom>
                  </pic:spPr>
                </pic:pic>
              </a:graphicData>
            </a:graphic>
          </wp:inline>
        </w:drawing>
      </w:r>
    </w:p>
    <w:p w14:paraId="6B4475DF" w14:textId="77777777" w:rsidR="00EC4BA3" w:rsidRPr="00B711AA" w:rsidRDefault="00EC4BA3" w:rsidP="00B711AA">
      <w:pPr>
        <w:pStyle w:val="ListParagraph"/>
        <w:numPr>
          <w:ilvl w:val="0"/>
          <w:numId w:val="40"/>
        </w:numPr>
        <w:rPr>
          <w:rFonts w:ascii="Arial" w:hAnsi="Arial" w:cs="Arial"/>
          <w:b/>
          <w:bCs/>
          <w:color w:val="0070C0"/>
          <w:sz w:val="24"/>
          <w:szCs w:val="24"/>
        </w:rPr>
      </w:pPr>
      <w:r w:rsidRPr="00B711AA">
        <w:rPr>
          <w:rFonts w:ascii="Arial" w:hAnsi="Arial" w:cs="Arial"/>
          <w:b/>
          <w:bCs/>
          <w:color w:val="0070C0"/>
          <w:sz w:val="24"/>
          <w:szCs w:val="24"/>
        </w:rPr>
        <w:t>Calculated column in Fact_credit</w:t>
      </w:r>
    </w:p>
    <w:p w14:paraId="7265AA97" w14:textId="61CC7AC1" w:rsidR="00EC4BA3" w:rsidRDefault="00E626D3" w:rsidP="002B6D6B">
      <w:pPr>
        <w:rPr>
          <w:rFonts w:ascii="Arial" w:hAnsi="Arial" w:cs="Arial"/>
          <w:b/>
          <w:bCs/>
          <w:color w:val="0070C0"/>
          <w:sz w:val="24"/>
          <w:szCs w:val="24"/>
        </w:rPr>
      </w:pPr>
      <w:r>
        <w:rPr>
          <w:rFonts w:ascii="Arial" w:hAnsi="Arial" w:cs="Arial"/>
          <w:b/>
          <w:bCs/>
          <w:color w:val="0070C0"/>
          <w:sz w:val="24"/>
          <w:szCs w:val="24"/>
        </w:rPr>
        <w:lastRenderedPageBreak/>
        <w:t xml:space="preserve">                         </w:t>
      </w:r>
      <w:r w:rsidR="00EC4BA3" w:rsidRPr="00EC4BA3">
        <w:rPr>
          <w:rFonts w:ascii="Arial" w:hAnsi="Arial" w:cs="Arial"/>
          <w:b/>
          <w:bCs/>
          <w:noProof/>
          <w:color w:val="0070C0"/>
          <w:sz w:val="24"/>
          <w:szCs w:val="24"/>
        </w:rPr>
        <w:drawing>
          <wp:inline distT="0" distB="0" distL="0" distR="0" wp14:anchorId="11E59C34" wp14:editId="1AF429F6">
            <wp:extent cx="2827020" cy="4336532"/>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2806" r="3772" b="7761"/>
                    <a:stretch/>
                  </pic:blipFill>
                  <pic:spPr bwMode="auto">
                    <a:xfrm>
                      <a:off x="0" y="0"/>
                      <a:ext cx="2834557" cy="4348093"/>
                    </a:xfrm>
                    <a:prstGeom prst="rect">
                      <a:avLst/>
                    </a:prstGeom>
                    <a:ln>
                      <a:noFill/>
                    </a:ln>
                    <a:extLst>
                      <a:ext uri="{53640926-AAD7-44D8-BBD7-CCE9431645EC}">
                        <a14:shadowObscured xmlns:a14="http://schemas.microsoft.com/office/drawing/2010/main"/>
                      </a:ext>
                    </a:extLst>
                  </pic:spPr>
                </pic:pic>
              </a:graphicData>
            </a:graphic>
          </wp:inline>
        </w:drawing>
      </w:r>
    </w:p>
    <w:p w14:paraId="3CE3E2D5" w14:textId="6838B9D2" w:rsidR="0094787C" w:rsidRPr="002B6D6B" w:rsidRDefault="0094787C" w:rsidP="0094787C">
      <w:pPr>
        <w:pStyle w:val="Heading2"/>
        <w:tabs>
          <w:tab w:val="left" w:pos="263"/>
        </w:tabs>
        <w:spacing w:before="0" w:line="360" w:lineRule="auto"/>
        <w:ind w:left="283"/>
        <w:rPr>
          <w:rFonts w:ascii="Arial" w:hAnsi="Arial" w:cs="Arial"/>
          <w:b w:val="0"/>
          <w:bCs w:val="0"/>
          <w:color w:val="0070C0"/>
          <w:sz w:val="24"/>
          <w:szCs w:val="24"/>
        </w:rPr>
      </w:pPr>
      <w:r w:rsidRPr="00CF1F52">
        <w:rPr>
          <w:rFonts w:ascii="Arial" w:hAnsi="Arial" w:cs="Arial"/>
          <w:color w:val="0070C0"/>
          <w:sz w:val="24"/>
          <w:szCs w:val="24"/>
        </w:rPr>
        <w:t>9.</w:t>
      </w:r>
      <w:r>
        <w:rPr>
          <w:rFonts w:ascii="Arial" w:hAnsi="Arial" w:cs="Arial"/>
          <w:color w:val="0070C0"/>
          <w:sz w:val="24"/>
          <w:szCs w:val="24"/>
        </w:rPr>
        <w:t>5.</w:t>
      </w:r>
      <w:r w:rsidRPr="00CF1F52">
        <w:rPr>
          <w:rFonts w:ascii="Arial" w:hAnsi="Arial" w:cs="Arial"/>
          <w:color w:val="0070C0"/>
          <w:sz w:val="24"/>
          <w:szCs w:val="24"/>
        </w:rPr>
        <w:t xml:space="preserve"> </w:t>
      </w:r>
      <w:r>
        <w:rPr>
          <w:rFonts w:ascii="Arial" w:hAnsi="Arial" w:cs="Arial"/>
          <w:color w:val="0070C0"/>
          <w:sz w:val="24"/>
          <w:szCs w:val="24"/>
        </w:rPr>
        <w:t xml:space="preserve">Overall Summary </w:t>
      </w:r>
    </w:p>
    <w:p w14:paraId="3A6E8018" w14:textId="0ED27EC4" w:rsidR="00DB0238" w:rsidRDefault="0094787C" w:rsidP="00DB0238">
      <w:pPr>
        <w:spacing w:line="278" w:lineRule="auto"/>
        <w:ind w:left="360"/>
        <w:jc w:val="left"/>
        <w:rPr>
          <w:rFonts w:ascii="Arial" w:hAnsi="Arial" w:cs="Arial"/>
          <w:sz w:val="24"/>
          <w:szCs w:val="24"/>
        </w:rPr>
      </w:pPr>
      <w:r w:rsidRPr="0094787C">
        <w:rPr>
          <w:rFonts w:ascii="Arial" w:hAnsi="Arial" w:cs="Arial"/>
          <w:noProof/>
          <w:sz w:val="24"/>
          <w:szCs w:val="24"/>
        </w:rPr>
        <w:drawing>
          <wp:inline distT="0" distB="0" distL="0" distR="0" wp14:anchorId="3C55EF28" wp14:editId="6DD49973">
            <wp:extent cx="5731510" cy="328485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84855"/>
                    </a:xfrm>
                    <a:prstGeom prst="rect">
                      <a:avLst/>
                    </a:prstGeom>
                  </pic:spPr>
                </pic:pic>
              </a:graphicData>
            </a:graphic>
          </wp:inline>
        </w:drawing>
      </w:r>
    </w:p>
    <w:p w14:paraId="3ACAE3FF" w14:textId="6AE53F2F" w:rsidR="0094787C" w:rsidRPr="0094787C" w:rsidRDefault="0094787C" w:rsidP="0016338D">
      <w:pPr>
        <w:spacing w:line="278" w:lineRule="auto"/>
        <w:ind w:left="360"/>
        <w:rPr>
          <w:rFonts w:ascii="Arial" w:hAnsi="Arial" w:cs="Arial"/>
          <w:sz w:val="24"/>
          <w:szCs w:val="24"/>
        </w:rPr>
      </w:pPr>
      <w:r w:rsidRPr="0094787C">
        <w:rPr>
          <w:rFonts w:ascii="Arial" w:hAnsi="Arial" w:cs="Arial"/>
          <w:sz w:val="24"/>
          <w:szCs w:val="24"/>
        </w:rPr>
        <w:t xml:space="preserve">The dashboard shows a </w:t>
      </w:r>
      <w:r w:rsidRPr="0094787C">
        <w:rPr>
          <w:rFonts w:ascii="Arial" w:hAnsi="Arial" w:cs="Arial"/>
          <w:b/>
          <w:bCs/>
          <w:sz w:val="24"/>
          <w:szCs w:val="24"/>
        </w:rPr>
        <w:t>portfolio with strong growth but elevated concentration and utilization risk</w:t>
      </w:r>
      <w:r w:rsidRPr="0094787C">
        <w:rPr>
          <w:rFonts w:ascii="Arial" w:hAnsi="Arial" w:cs="Arial"/>
          <w:sz w:val="24"/>
          <w:szCs w:val="24"/>
        </w:rPr>
        <w:t xml:space="preserve">. Total sanctioned capacity has expanded materially, utilization is high, and a few sectors, states, and BankGroups dominate </w:t>
      </w:r>
      <w:r w:rsidRPr="0094787C">
        <w:rPr>
          <w:rFonts w:ascii="Arial" w:hAnsi="Arial" w:cs="Arial"/>
          <w:sz w:val="24"/>
          <w:szCs w:val="24"/>
        </w:rPr>
        <w:lastRenderedPageBreak/>
        <w:t>exposure — so the immediate priority is to validate drivers, quantify concentration, and run targeted stress tests.</w:t>
      </w:r>
    </w:p>
    <w:p w14:paraId="6F297DB0" w14:textId="6A33B28B" w:rsidR="0094787C" w:rsidRPr="0094787C" w:rsidRDefault="0094787C" w:rsidP="0094787C">
      <w:pPr>
        <w:numPr>
          <w:ilvl w:val="0"/>
          <w:numId w:val="57"/>
        </w:numPr>
        <w:spacing w:line="278" w:lineRule="auto"/>
        <w:rPr>
          <w:rFonts w:ascii="Arial" w:hAnsi="Arial" w:cs="Arial"/>
          <w:sz w:val="24"/>
          <w:szCs w:val="24"/>
        </w:rPr>
      </w:pPr>
      <w:r w:rsidRPr="0094787C">
        <w:rPr>
          <w:rFonts w:ascii="Arial" w:hAnsi="Arial" w:cs="Arial"/>
          <w:b/>
          <w:bCs/>
          <w:sz w:val="24"/>
          <w:szCs w:val="24"/>
        </w:rPr>
        <w:t>Portfolio Utilization:</w:t>
      </w:r>
      <w:r w:rsidRPr="0094787C">
        <w:rPr>
          <w:rFonts w:ascii="Arial" w:hAnsi="Arial" w:cs="Arial"/>
          <w:sz w:val="24"/>
          <w:szCs w:val="24"/>
        </w:rPr>
        <w:t xml:space="preserve"> </w:t>
      </w:r>
      <w:r w:rsidRPr="0094787C">
        <w:rPr>
          <w:rFonts w:ascii="Arial" w:hAnsi="Arial" w:cs="Arial"/>
          <w:b/>
          <w:bCs/>
          <w:sz w:val="24"/>
          <w:szCs w:val="24"/>
        </w:rPr>
        <w:t>~0.64</w:t>
      </w:r>
      <w:r w:rsidRPr="0094787C">
        <w:rPr>
          <w:rFonts w:ascii="Arial" w:hAnsi="Arial" w:cs="Arial"/>
          <w:sz w:val="24"/>
          <w:szCs w:val="24"/>
        </w:rPr>
        <w:t xml:space="preserve"> (64%) significant drawdown of sanctioned lines.</w:t>
      </w:r>
    </w:p>
    <w:p w14:paraId="25C7BAAE" w14:textId="5540FDD7" w:rsidR="0094787C" w:rsidRPr="0094787C" w:rsidRDefault="0094787C" w:rsidP="0094787C">
      <w:pPr>
        <w:numPr>
          <w:ilvl w:val="0"/>
          <w:numId w:val="57"/>
        </w:numPr>
        <w:spacing w:line="278" w:lineRule="auto"/>
        <w:rPr>
          <w:rFonts w:ascii="Arial" w:hAnsi="Arial" w:cs="Arial"/>
          <w:sz w:val="24"/>
          <w:szCs w:val="24"/>
        </w:rPr>
      </w:pPr>
      <w:r w:rsidRPr="0094787C">
        <w:rPr>
          <w:rFonts w:ascii="Arial" w:hAnsi="Arial" w:cs="Arial"/>
          <w:b/>
          <w:bCs/>
          <w:sz w:val="24"/>
          <w:szCs w:val="24"/>
        </w:rPr>
        <w:t>Portfolio HHI:</w:t>
      </w:r>
      <w:r w:rsidRPr="0094787C">
        <w:rPr>
          <w:rFonts w:ascii="Arial" w:hAnsi="Arial" w:cs="Arial"/>
          <w:sz w:val="24"/>
          <w:szCs w:val="24"/>
        </w:rPr>
        <w:t xml:space="preserve"> </w:t>
      </w:r>
      <w:r w:rsidRPr="0094787C">
        <w:rPr>
          <w:rFonts w:ascii="Arial" w:hAnsi="Arial" w:cs="Arial"/>
          <w:b/>
          <w:bCs/>
          <w:sz w:val="24"/>
          <w:szCs w:val="24"/>
        </w:rPr>
        <w:t>~0.42</w:t>
      </w:r>
      <w:r w:rsidRPr="0094787C">
        <w:rPr>
          <w:rFonts w:ascii="Arial" w:hAnsi="Arial" w:cs="Arial"/>
          <w:sz w:val="24"/>
          <w:szCs w:val="24"/>
        </w:rPr>
        <w:t xml:space="preserve"> moderate</w:t>
      </w:r>
      <w:r w:rsidRPr="0094787C">
        <w:rPr>
          <w:rFonts w:ascii="Arial" w:hAnsi="Arial" w:cs="Arial"/>
          <w:sz w:val="24"/>
          <w:szCs w:val="24"/>
        </w:rPr>
        <w:noBreakHyphen/>
        <w:t>to</w:t>
      </w:r>
      <w:r w:rsidRPr="0094787C">
        <w:rPr>
          <w:rFonts w:ascii="Arial" w:hAnsi="Arial" w:cs="Arial"/>
          <w:sz w:val="24"/>
          <w:szCs w:val="24"/>
        </w:rPr>
        <w:noBreakHyphen/>
        <w:t>high concentration at sector level.</w:t>
      </w:r>
    </w:p>
    <w:p w14:paraId="7A5174DB" w14:textId="74670DBE" w:rsidR="0094787C" w:rsidRPr="0094787C" w:rsidRDefault="0094787C" w:rsidP="0094787C">
      <w:pPr>
        <w:numPr>
          <w:ilvl w:val="0"/>
          <w:numId w:val="57"/>
        </w:numPr>
        <w:spacing w:line="278" w:lineRule="auto"/>
        <w:rPr>
          <w:rFonts w:ascii="Arial" w:hAnsi="Arial" w:cs="Arial"/>
          <w:sz w:val="24"/>
          <w:szCs w:val="24"/>
        </w:rPr>
      </w:pPr>
      <w:r w:rsidRPr="0094787C">
        <w:rPr>
          <w:rFonts w:ascii="Arial" w:hAnsi="Arial" w:cs="Arial"/>
          <w:b/>
          <w:bCs/>
          <w:sz w:val="24"/>
          <w:szCs w:val="24"/>
        </w:rPr>
        <w:t>Top</w:t>
      </w:r>
      <w:r w:rsidRPr="0094787C">
        <w:rPr>
          <w:rFonts w:ascii="Arial" w:hAnsi="Arial" w:cs="Arial"/>
          <w:b/>
          <w:bCs/>
          <w:sz w:val="24"/>
          <w:szCs w:val="24"/>
        </w:rPr>
        <w:noBreakHyphen/>
        <w:t>3 Share Sector:</w:t>
      </w:r>
      <w:r w:rsidRPr="0094787C">
        <w:rPr>
          <w:rFonts w:ascii="Arial" w:hAnsi="Arial" w:cs="Arial"/>
          <w:sz w:val="24"/>
          <w:szCs w:val="24"/>
        </w:rPr>
        <w:t xml:space="preserve"> </w:t>
      </w:r>
      <w:r>
        <w:rPr>
          <w:rFonts w:ascii="Arial" w:hAnsi="Arial" w:cs="Arial"/>
          <w:sz w:val="24"/>
          <w:szCs w:val="24"/>
        </w:rPr>
        <w:t xml:space="preserve">the </w:t>
      </w:r>
      <w:r w:rsidRPr="0094787C">
        <w:rPr>
          <w:rFonts w:ascii="Arial" w:hAnsi="Arial" w:cs="Arial"/>
          <w:sz w:val="24"/>
          <w:szCs w:val="24"/>
        </w:rPr>
        <w:t>three players</w:t>
      </w:r>
      <w:r>
        <w:rPr>
          <w:rFonts w:ascii="Arial" w:hAnsi="Arial" w:cs="Arial"/>
          <w:sz w:val="24"/>
          <w:szCs w:val="24"/>
        </w:rPr>
        <w:t xml:space="preserve"> </w:t>
      </w:r>
      <w:r w:rsidRPr="0094787C">
        <w:rPr>
          <w:rFonts w:ascii="Arial" w:hAnsi="Arial" w:cs="Arial"/>
          <w:b/>
          <w:i/>
          <w:sz w:val="24"/>
          <w:szCs w:val="24"/>
        </w:rPr>
        <w:t>Industry, Personal Loans and Finance</w:t>
      </w:r>
      <w:r w:rsidRPr="0094787C">
        <w:rPr>
          <w:rFonts w:ascii="Arial" w:hAnsi="Arial" w:cs="Arial"/>
          <w:sz w:val="24"/>
          <w:szCs w:val="24"/>
        </w:rPr>
        <w:t xml:space="preserve"> dominate many sectors.</w:t>
      </w:r>
    </w:p>
    <w:p w14:paraId="21FCF8FC" w14:textId="77777777" w:rsidR="0094787C" w:rsidRPr="0094787C" w:rsidRDefault="0094787C" w:rsidP="0094787C">
      <w:pPr>
        <w:numPr>
          <w:ilvl w:val="0"/>
          <w:numId w:val="57"/>
        </w:numPr>
        <w:spacing w:line="278" w:lineRule="auto"/>
        <w:rPr>
          <w:rFonts w:ascii="Arial" w:hAnsi="Arial" w:cs="Arial"/>
          <w:sz w:val="24"/>
          <w:szCs w:val="24"/>
        </w:rPr>
      </w:pPr>
      <w:r w:rsidRPr="0094787C">
        <w:rPr>
          <w:rFonts w:ascii="Arial" w:hAnsi="Arial" w:cs="Arial"/>
          <w:b/>
          <w:bCs/>
          <w:sz w:val="24"/>
          <w:szCs w:val="24"/>
        </w:rPr>
        <w:t>Segment concentration</w:t>
      </w:r>
      <w:r w:rsidRPr="0094787C">
        <w:rPr>
          <w:rFonts w:ascii="Arial" w:hAnsi="Arial" w:cs="Arial"/>
          <w:bCs/>
          <w:i/>
          <w:sz w:val="24"/>
          <w:szCs w:val="24"/>
        </w:rPr>
        <w:t>:</w:t>
      </w:r>
      <w:r w:rsidRPr="0094787C">
        <w:rPr>
          <w:rFonts w:ascii="Arial" w:hAnsi="Arial" w:cs="Arial"/>
          <w:i/>
          <w:sz w:val="24"/>
          <w:szCs w:val="24"/>
        </w:rPr>
        <w:t xml:space="preserve"> </w:t>
      </w:r>
      <w:r w:rsidRPr="0094787C">
        <w:rPr>
          <w:rFonts w:ascii="Arial" w:hAnsi="Arial" w:cs="Arial"/>
          <w:b/>
          <w:i/>
          <w:sz w:val="24"/>
          <w:szCs w:val="24"/>
        </w:rPr>
        <w:t>Metropolitan and Industry/Finance</w:t>
      </w:r>
      <w:r w:rsidRPr="0094787C">
        <w:rPr>
          <w:rFonts w:ascii="Arial" w:hAnsi="Arial" w:cs="Arial"/>
          <w:i/>
          <w:sz w:val="24"/>
          <w:szCs w:val="24"/>
        </w:rPr>
        <w:t xml:space="preserve"> sectors </w:t>
      </w:r>
      <w:r w:rsidRPr="0094787C">
        <w:rPr>
          <w:rFonts w:ascii="Arial" w:hAnsi="Arial" w:cs="Arial"/>
          <w:sz w:val="24"/>
          <w:szCs w:val="24"/>
        </w:rPr>
        <w:t xml:space="preserve">are the largest buckets; </w:t>
      </w:r>
      <w:r w:rsidRPr="0094787C">
        <w:rPr>
          <w:rFonts w:ascii="Arial" w:hAnsi="Arial" w:cs="Arial"/>
          <w:b/>
          <w:i/>
          <w:sz w:val="24"/>
          <w:szCs w:val="24"/>
        </w:rPr>
        <w:t>Personal Loans and Agriculture</w:t>
      </w:r>
      <w:r w:rsidRPr="0094787C">
        <w:rPr>
          <w:rFonts w:ascii="Arial" w:hAnsi="Arial" w:cs="Arial"/>
          <w:sz w:val="24"/>
          <w:szCs w:val="24"/>
        </w:rPr>
        <w:t xml:space="preserve"> are material but smaller.</w:t>
      </w:r>
    </w:p>
    <w:p w14:paraId="339C0C9D" w14:textId="66CEB906" w:rsidR="00574CE0" w:rsidRPr="00670621" w:rsidRDefault="00574CE0" w:rsidP="00670621">
      <w:pPr>
        <w:pStyle w:val="Heading2"/>
        <w:tabs>
          <w:tab w:val="left" w:pos="263"/>
        </w:tabs>
        <w:spacing w:line="360" w:lineRule="auto"/>
        <w:ind w:left="283"/>
        <w:rPr>
          <w:rFonts w:ascii="Arial" w:eastAsia="Times New Roman" w:hAnsi="Arial" w:cs="Arial"/>
          <w:color w:val="0070C0"/>
          <w:lang w:eastAsia="en-GB"/>
        </w:rPr>
      </w:pPr>
      <w:r w:rsidRPr="00CF1F52">
        <w:rPr>
          <w:rFonts w:ascii="Arial" w:hAnsi="Arial" w:cs="Arial"/>
          <w:color w:val="0070C0"/>
          <w:sz w:val="24"/>
          <w:szCs w:val="24"/>
        </w:rPr>
        <w:t>9.</w:t>
      </w:r>
      <w:r>
        <w:rPr>
          <w:rFonts w:ascii="Arial" w:hAnsi="Arial" w:cs="Arial"/>
          <w:color w:val="0070C0"/>
          <w:sz w:val="24"/>
          <w:szCs w:val="24"/>
        </w:rPr>
        <w:t xml:space="preserve">6. </w:t>
      </w:r>
      <w:r w:rsidR="00670621" w:rsidRPr="00670621">
        <w:rPr>
          <w:rFonts w:ascii="Arial" w:eastAsia="Times New Roman" w:hAnsi="Arial" w:cs="Arial"/>
          <w:color w:val="0070C0"/>
          <w:lang w:eastAsia="en-GB"/>
        </w:rPr>
        <w:t>Diagnosis Summary · Operational View · Forecast</w:t>
      </w:r>
    </w:p>
    <w:p w14:paraId="00747F5B" w14:textId="78FBC01B" w:rsidR="00574CE0" w:rsidRPr="00574CE0" w:rsidRDefault="00574CE0" w:rsidP="00574CE0">
      <w:pPr>
        <w:pStyle w:val="ListParagraph"/>
        <w:numPr>
          <w:ilvl w:val="0"/>
          <w:numId w:val="40"/>
        </w:numPr>
        <w:rPr>
          <w:rFonts w:ascii="Arial" w:hAnsi="Arial" w:cs="Arial"/>
          <w:sz w:val="24"/>
          <w:szCs w:val="24"/>
        </w:rPr>
      </w:pPr>
      <w:r w:rsidRPr="00574CE0">
        <w:rPr>
          <w:rFonts w:ascii="Arial" w:hAnsi="Arial" w:cs="Arial"/>
          <w:sz w:val="24"/>
          <w:szCs w:val="24"/>
        </w:rPr>
        <w:t xml:space="preserve">Rapid sanctioned growth with </w:t>
      </w:r>
      <w:r w:rsidRPr="00574CE0">
        <w:rPr>
          <w:rFonts w:ascii="Arial" w:hAnsi="Arial" w:cs="Arial"/>
          <w:b/>
          <w:bCs/>
          <w:sz w:val="24"/>
          <w:szCs w:val="24"/>
        </w:rPr>
        <w:t>high utilization (~64%)</w:t>
      </w:r>
      <w:r w:rsidRPr="00574CE0">
        <w:rPr>
          <w:rFonts w:ascii="Arial" w:hAnsi="Arial" w:cs="Arial"/>
          <w:sz w:val="24"/>
          <w:szCs w:val="24"/>
        </w:rPr>
        <w:t xml:space="preserve"> and </w:t>
      </w:r>
      <w:r w:rsidRPr="00574CE0">
        <w:rPr>
          <w:rFonts w:ascii="Arial" w:hAnsi="Arial" w:cs="Arial"/>
          <w:b/>
          <w:bCs/>
          <w:sz w:val="24"/>
          <w:szCs w:val="24"/>
        </w:rPr>
        <w:t>elevated concentration (HHI ≈ 0.42)</w:t>
      </w:r>
      <w:r w:rsidRPr="00574CE0">
        <w:rPr>
          <w:rFonts w:ascii="Arial" w:hAnsi="Arial" w:cs="Arial"/>
          <w:sz w:val="24"/>
          <w:szCs w:val="24"/>
        </w:rPr>
        <w:t>; outstanding is heavily drawn and metro/Industry/Finance are the primary hotspots.</w:t>
      </w:r>
    </w:p>
    <w:p w14:paraId="71E4A189" w14:textId="77777777" w:rsidR="00574CE0" w:rsidRPr="00574CE0" w:rsidRDefault="00574CE0" w:rsidP="00574CE0">
      <w:pPr>
        <w:pStyle w:val="ListParagraph"/>
        <w:numPr>
          <w:ilvl w:val="0"/>
          <w:numId w:val="40"/>
        </w:numPr>
        <w:spacing w:before="100" w:beforeAutospacing="1" w:after="100" w:afterAutospacing="1" w:line="240" w:lineRule="auto"/>
        <w:rPr>
          <w:rFonts w:ascii="Arial" w:eastAsia="Times New Roman" w:hAnsi="Arial" w:cs="Arial"/>
          <w:sz w:val="24"/>
          <w:szCs w:val="24"/>
          <w:lang w:eastAsia="en-GB"/>
        </w:rPr>
      </w:pPr>
      <w:r w:rsidRPr="00574CE0">
        <w:rPr>
          <w:rFonts w:ascii="Arial" w:eastAsia="Times New Roman" w:hAnsi="Arial" w:cs="Arial"/>
          <w:sz w:val="24"/>
          <w:szCs w:val="24"/>
          <w:lang w:eastAsia="en-GB"/>
        </w:rPr>
        <w:t>That makes the portfolio fragile—there’s little spare capacity and too much reliance on a few players.</w:t>
      </w:r>
    </w:p>
    <w:p w14:paraId="7501D3C3" w14:textId="77777777" w:rsidR="00574CE0" w:rsidRPr="00574CE0" w:rsidRDefault="00574CE0" w:rsidP="00574CE0">
      <w:pPr>
        <w:pStyle w:val="ListParagraph"/>
        <w:numPr>
          <w:ilvl w:val="0"/>
          <w:numId w:val="40"/>
        </w:numPr>
        <w:spacing w:before="100" w:beforeAutospacing="1" w:after="100" w:afterAutospacing="1" w:line="240" w:lineRule="auto"/>
        <w:rPr>
          <w:rFonts w:ascii="Arial" w:eastAsia="Times New Roman" w:hAnsi="Arial" w:cs="Arial"/>
          <w:sz w:val="24"/>
          <w:szCs w:val="24"/>
          <w:lang w:eastAsia="en-GB"/>
        </w:rPr>
      </w:pPr>
      <w:r w:rsidRPr="00574CE0">
        <w:rPr>
          <w:rFonts w:ascii="Arial" w:eastAsia="Times New Roman" w:hAnsi="Arial" w:cs="Arial"/>
          <w:sz w:val="24"/>
          <w:szCs w:val="24"/>
          <w:lang w:eastAsia="en-GB"/>
        </w:rPr>
        <w:t xml:space="preserve">If unchanged, expect </w:t>
      </w:r>
      <w:r w:rsidRPr="00574CE0">
        <w:rPr>
          <w:rFonts w:ascii="Arial" w:eastAsia="Times New Roman" w:hAnsi="Arial" w:cs="Arial"/>
          <w:b/>
          <w:bCs/>
          <w:sz w:val="24"/>
          <w:szCs w:val="24"/>
          <w:lang w:eastAsia="en-GB"/>
        </w:rPr>
        <w:t>rising delinquencies and higher volatility within 3–6 months</w:t>
      </w:r>
      <w:r w:rsidRPr="00574CE0">
        <w:rPr>
          <w:rFonts w:ascii="Arial" w:eastAsia="Times New Roman" w:hAnsi="Arial" w:cs="Arial"/>
          <w:sz w:val="24"/>
          <w:szCs w:val="24"/>
          <w:lang w:eastAsia="en-GB"/>
        </w:rPr>
        <w:t>; a 20–30% non</w:t>
      </w:r>
      <w:r w:rsidRPr="00574CE0">
        <w:rPr>
          <w:rFonts w:ascii="Arial" w:eastAsia="Times New Roman" w:hAnsi="Arial" w:cs="Arial"/>
          <w:sz w:val="24"/>
          <w:szCs w:val="24"/>
          <w:lang w:eastAsia="en-GB"/>
        </w:rPr>
        <w:noBreakHyphen/>
        <w:t>renewal or shock to top contributors would produce material portfolio stress.</w:t>
      </w:r>
    </w:p>
    <w:p w14:paraId="3C103708" w14:textId="217A1834" w:rsidR="008F08B9" w:rsidRPr="00A6415C" w:rsidRDefault="008F08B9" w:rsidP="008F08B9">
      <w:pPr>
        <w:pStyle w:val="Heading2"/>
        <w:tabs>
          <w:tab w:val="left" w:pos="263"/>
        </w:tabs>
        <w:spacing w:before="217"/>
        <w:rPr>
          <w:rFonts w:ascii="Arial" w:hAnsi="Arial" w:cs="Arial"/>
          <w:color w:val="0070C0"/>
        </w:rPr>
      </w:pPr>
      <w:r w:rsidRPr="00A6415C">
        <w:rPr>
          <w:rFonts w:ascii="Arial" w:hAnsi="Arial" w:cs="Arial"/>
          <w:color w:val="0070C0"/>
        </w:rPr>
        <w:t>10. Conclusion</w:t>
      </w:r>
    </w:p>
    <w:p w14:paraId="35C00C8B" w14:textId="0B2A22B1" w:rsidR="000A5621" w:rsidRPr="00B11565" w:rsidRDefault="00134DED" w:rsidP="00B11565">
      <w:pPr>
        <w:ind w:firstLine="720"/>
        <w:rPr>
          <w:rFonts w:ascii="Arial" w:hAnsi="Arial" w:cs="Arial"/>
          <w:sz w:val="24"/>
          <w:szCs w:val="24"/>
        </w:rPr>
      </w:pPr>
      <w:r w:rsidRPr="00134DED">
        <w:rPr>
          <w:rFonts w:ascii="Arial" w:hAnsi="Arial" w:cs="Arial"/>
          <w:sz w:val="24"/>
          <w:szCs w:val="24"/>
        </w:rPr>
        <w:t xml:space="preserve">The portfolio is </w:t>
      </w:r>
      <w:r w:rsidRPr="00134DED">
        <w:rPr>
          <w:rFonts w:ascii="Arial" w:hAnsi="Arial" w:cs="Arial"/>
          <w:b/>
          <w:bCs/>
          <w:sz w:val="24"/>
          <w:szCs w:val="24"/>
        </w:rPr>
        <w:t>large, growing, and heavily concentrated in metropolitan hubs and a few states</w:t>
      </w:r>
      <w:r w:rsidRPr="00134DED">
        <w:rPr>
          <w:rFonts w:ascii="Arial" w:hAnsi="Arial" w:cs="Arial"/>
          <w:sz w:val="24"/>
          <w:szCs w:val="24"/>
        </w:rPr>
        <w:t xml:space="preserve">, with </w:t>
      </w:r>
      <w:r w:rsidRPr="00134DED">
        <w:rPr>
          <w:rFonts w:ascii="Arial" w:hAnsi="Arial" w:cs="Arial"/>
          <w:b/>
          <w:bCs/>
          <w:sz w:val="24"/>
          <w:szCs w:val="24"/>
        </w:rPr>
        <w:t>Industry and Personal Loans as the main sectors</w:t>
      </w:r>
      <w:r w:rsidRPr="00134DED">
        <w:rPr>
          <w:rFonts w:ascii="Arial" w:hAnsi="Arial" w:cs="Arial"/>
          <w:sz w:val="24"/>
          <w:szCs w:val="24"/>
        </w:rPr>
        <w:t xml:space="preserve">. While growth is strong, the </w:t>
      </w:r>
      <w:r w:rsidRPr="00134DED">
        <w:rPr>
          <w:rFonts w:ascii="Arial" w:hAnsi="Arial" w:cs="Arial"/>
          <w:b/>
          <w:bCs/>
          <w:sz w:val="24"/>
          <w:szCs w:val="24"/>
        </w:rPr>
        <w:t>volatility and concentration risk in Western/Northern regions</w:t>
      </w:r>
      <w:r w:rsidRPr="00134DED">
        <w:rPr>
          <w:rFonts w:ascii="Arial" w:hAnsi="Arial" w:cs="Arial"/>
          <w:sz w:val="24"/>
          <w:szCs w:val="24"/>
        </w:rPr>
        <w:t xml:space="preserve"> and the </w:t>
      </w:r>
      <w:r w:rsidRPr="00134DED">
        <w:rPr>
          <w:rFonts w:ascii="Arial" w:hAnsi="Arial" w:cs="Arial"/>
          <w:b/>
          <w:bCs/>
          <w:sz w:val="24"/>
          <w:szCs w:val="24"/>
        </w:rPr>
        <w:t>urban bias of lending</w:t>
      </w:r>
      <w:r w:rsidRPr="00134DED">
        <w:rPr>
          <w:rFonts w:ascii="Arial" w:hAnsi="Arial" w:cs="Arial"/>
          <w:sz w:val="24"/>
          <w:szCs w:val="24"/>
        </w:rPr>
        <w:t xml:space="preserve"> highlight the need for diversification into rural/semi</w:t>
      </w:r>
      <w:r w:rsidRPr="00134DED">
        <w:rPr>
          <w:rFonts w:ascii="Arial" w:hAnsi="Arial" w:cs="Arial"/>
          <w:sz w:val="24"/>
          <w:szCs w:val="24"/>
        </w:rPr>
        <w:noBreakHyphen/>
        <w:t>urban markets and broader sectoral balance.</w:t>
      </w:r>
    </w:p>
    <w:sectPr w:rsidR="000A5621" w:rsidRPr="00B11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2" type="#_x0000_t75" style="width:11.4pt;height:11.4pt" o:bullet="t">
        <v:imagedata r:id="rId1" o:title="mso81F8"/>
      </v:shape>
    </w:pict>
  </w:numPicBullet>
  <w:abstractNum w:abstractNumId="0" w15:restartNumberingAfterBreak="0">
    <w:nsid w:val="02570179"/>
    <w:multiLevelType w:val="hybridMultilevel"/>
    <w:tmpl w:val="894A3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7445FA"/>
    <w:multiLevelType w:val="hybridMultilevel"/>
    <w:tmpl w:val="B4BAB1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A394FAB"/>
    <w:multiLevelType w:val="multilevel"/>
    <w:tmpl w:val="38FEE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256ED"/>
    <w:multiLevelType w:val="multilevel"/>
    <w:tmpl w:val="1E70F5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40EED"/>
    <w:multiLevelType w:val="multilevel"/>
    <w:tmpl w:val="2A5C61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F4AED"/>
    <w:multiLevelType w:val="multilevel"/>
    <w:tmpl w:val="47D0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B461A"/>
    <w:multiLevelType w:val="hybridMultilevel"/>
    <w:tmpl w:val="D60AF440"/>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7" w15:restartNumberingAfterBreak="0">
    <w:nsid w:val="11C7374A"/>
    <w:multiLevelType w:val="hybridMultilevel"/>
    <w:tmpl w:val="84148C2C"/>
    <w:lvl w:ilvl="0" w:tplc="08090001">
      <w:start w:val="1"/>
      <w:numFmt w:val="bullet"/>
      <w:lvlText w:val=""/>
      <w:lvlJc w:val="left"/>
      <w:pPr>
        <w:ind w:left="607" w:hanging="360"/>
      </w:pPr>
      <w:rPr>
        <w:rFonts w:ascii="Symbol" w:hAnsi="Symbol" w:hint="default"/>
      </w:rPr>
    </w:lvl>
    <w:lvl w:ilvl="1" w:tplc="08090003" w:tentative="1">
      <w:start w:val="1"/>
      <w:numFmt w:val="bullet"/>
      <w:lvlText w:val="o"/>
      <w:lvlJc w:val="left"/>
      <w:pPr>
        <w:ind w:left="1327" w:hanging="360"/>
      </w:pPr>
      <w:rPr>
        <w:rFonts w:ascii="Courier New" w:hAnsi="Courier New" w:cs="Courier New" w:hint="default"/>
      </w:rPr>
    </w:lvl>
    <w:lvl w:ilvl="2" w:tplc="08090005" w:tentative="1">
      <w:start w:val="1"/>
      <w:numFmt w:val="bullet"/>
      <w:lvlText w:val=""/>
      <w:lvlJc w:val="left"/>
      <w:pPr>
        <w:ind w:left="2047" w:hanging="360"/>
      </w:pPr>
      <w:rPr>
        <w:rFonts w:ascii="Wingdings" w:hAnsi="Wingdings" w:hint="default"/>
      </w:rPr>
    </w:lvl>
    <w:lvl w:ilvl="3" w:tplc="08090001" w:tentative="1">
      <w:start w:val="1"/>
      <w:numFmt w:val="bullet"/>
      <w:lvlText w:val=""/>
      <w:lvlJc w:val="left"/>
      <w:pPr>
        <w:ind w:left="2767" w:hanging="360"/>
      </w:pPr>
      <w:rPr>
        <w:rFonts w:ascii="Symbol" w:hAnsi="Symbol" w:hint="default"/>
      </w:rPr>
    </w:lvl>
    <w:lvl w:ilvl="4" w:tplc="08090003" w:tentative="1">
      <w:start w:val="1"/>
      <w:numFmt w:val="bullet"/>
      <w:lvlText w:val="o"/>
      <w:lvlJc w:val="left"/>
      <w:pPr>
        <w:ind w:left="3487" w:hanging="360"/>
      </w:pPr>
      <w:rPr>
        <w:rFonts w:ascii="Courier New" w:hAnsi="Courier New" w:cs="Courier New" w:hint="default"/>
      </w:rPr>
    </w:lvl>
    <w:lvl w:ilvl="5" w:tplc="08090005" w:tentative="1">
      <w:start w:val="1"/>
      <w:numFmt w:val="bullet"/>
      <w:lvlText w:val=""/>
      <w:lvlJc w:val="left"/>
      <w:pPr>
        <w:ind w:left="4207" w:hanging="360"/>
      </w:pPr>
      <w:rPr>
        <w:rFonts w:ascii="Wingdings" w:hAnsi="Wingdings" w:hint="default"/>
      </w:rPr>
    </w:lvl>
    <w:lvl w:ilvl="6" w:tplc="08090001" w:tentative="1">
      <w:start w:val="1"/>
      <w:numFmt w:val="bullet"/>
      <w:lvlText w:val=""/>
      <w:lvlJc w:val="left"/>
      <w:pPr>
        <w:ind w:left="4927" w:hanging="360"/>
      </w:pPr>
      <w:rPr>
        <w:rFonts w:ascii="Symbol" w:hAnsi="Symbol" w:hint="default"/>
      </w:rPr>
    </w:lvl>
    <w:lvl w:ilvl="7" w:tplc="08090003" w:tentative="1">
      <w:start w:val="1"/>
      <w:numFmt w:val="bullet"/>
      <w:lvlText w:val="o"/>
      <w:lvlJc w:val="left"/>
      <w:pPr>
        <w:ind w:left="5647" w:hanging="360"/>
      </w:pPr>
      <w:rPr>
        <w:rFonts w:ascii="Courier New" w:hAnsi="Courier New" w:cs="Courier New" w:hint="default"/>
      </w:rPr>
    </w:lvl>
    <w:lvl w:ilvl="8" w:tplc="08090005" w:tentative="1">
      <w:start w:val="1"/>
      <w:numFmt w:val="bullet"/>
      <w:lvlText w:val=""/>
      <w:lvlJc w:val="left"/>
      <w:pPr>
        <w:ind w:left="6367" w:hanging="360"/>
      </w:pPr>
      <w:rPr>
        <w:rFonts w:ascii="Wingdings" w:hAnsi="Wingdings" w:hint="default"/>
      </w:rPr>
    </w:lvl>
  </w:abstractNum>
  <w:abstractNum w:abstractNumId="8" w15:restartNumberingAfterBreak="0">
    <w:nsid w:val="12A74BE9"/>
    <w:multiLevelType w:val="hybridMultilevel"/>
    <w:tmpl w:val="C3D2F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5773A37"/>
    <w:multiLevelType w:val="hybridMultilevel"/>
    <w:tmpl w:val="ED06B734"/>
    <w:lvl w:ilvl="0" w:tplc="FFFFFFFF">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8314A50"/>
    <w:multiLevelType w:val="multilevel"/>
    <w:tmpl w:val="4192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47086"/>
    <w:multiLevelType w:val="hybridMultilevel"/>
    <w:tmpl w:val="1D4E79FE"/>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2" w15:restartNumberingAfterBreak="0">
    <w:nsid w:val="1C8D134C"/>
    <w:multiLevelType w:val="hybridMultilevel"/>
    <w:tmpl w:val="DF66D2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D55F21"/>
    <w:multiLevelType w:val="hybridMultilevel"/>
    <w:tmpl w:val="91F86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EC40A76"/>
    <w:multiLevelType w:val="multilevel"/>
    <w:tmpl w:val="F7BC8818"/>
    <w:lvl w:ilvl="0">
      <w:start w:val="1"/>
      <w:numFmt w:val="decimal"/>
      <w:lvlText w:val="%1."/>
      <w:lvlJc w:val="left"/>
      <w:pPr>
        <w:ind w:left="456" w:hanging="456"/>
      </w:pPr>
      <w:rPr>
        <w:rFonts w:ascii="Arial" w:hAnsi="Arial" w:cs="Arial" w:hint="default"/>
        <w:sz w:val="28"/>
      </w:rPr>
    </w:lvl>
    <w:lvl w:ilvl="1">
      <w:start w:val="1"/>
      <w:numFmt w:val="decimal"/>
      <w:lvlText w:val="%1.%2."/>
      <w:lvlJc w:val="left"/>
      <w:pPr>
        <w:ind w:left="1223" w:hanging="720"/>
      </w:pPr>
      <w:rPr>
        <w:rFonts w:ascii="Arial" w:hAnsi="Arial" w:cs="Arial" w:hint="default"/>
        <w:sz w:val="28"/>
      </w:rPr>
    </w:lvl>
    <w:lvl w:ilvl="2">
      <w:start w:val="1"/>
      <w:numFmt w:val="decimal"/>
      <w:lvlText w:val="%1.%2.%3."/>
      <w:lvlJc w:val="left"/>
      <w:pPr>
        <w:ind w:left="2086" w:hanging="1080"/>
      </w:pPr>
      <w:rPr>
        <w:rFonts w:ascii="Arial" w:hAnsi="Arial" w:cs="Arial" w:hint="default"/>
        <w:sz w:val="28"/>
      </w:rPr>
    </w:lvl>
    <w:lvl w:ilvl="3">
      <w:start w:val="1"/>
      <w:numFmt w:val="decimal"/>
      <w:lvlText w:val="%1.%2.%3.%4."/>
      <w:lvlJc w:val="left"/>
      <w:pPr>
        <w:ind w:left="2589" w:hanging="1080"/>
      </w:pPr>
      <w:rPr>
        <w:rFonts w:ascii="Arial" w:hAnsi="Arial" w:cs="Arial" w:hint="default"/>
        <w:sz w:val="28"/>
      </w:rPr>
    </w:lvl>
    <w:lvl w:ilvl="4">
      <w:start w:val="1"/>
      <w:numFmt w:val="decimal"/>
      <w:lvlText w:val="%1.%2.%3.%4.%5."/>
      <w:lvlJc w:val="left"/>
      <w:pPr>
        <w:ind w:left="3452" w:hanging="1440"/>
      </w:pPr>
      <w:rPr>
        <w:rFonts w:ascii="Arial" w:hAnsi="Arial" w:cs="Arial" w:hint="default"/>
        <w:sz w:val="28"/>
      </w:rPr>
    </w:lvl>
    <w:lvl w:ilvl="5">
      <w:start w:val="1"/>
      <w:numFmt w:val="decimal"/>
      <w:lvlText w:val="%1.%2.%3.%4.%5.%6."/>
      <w:lvlJc w:val="left"/>
      <w:pPr>
        <w:ind w:left="4315" w:hanging="1800"/>
      </w:pPr>
      <w:rPr>
        <w:rFonts w:ascii="Arial" w:hAnsi="Arial" w:cs="Arial" w:hint="default"/>
        <w:sz w:val="28"/>
      </w:rPr>
    </w:lvl>
    <w:lvl w:ilvl="6">
      <w:start w:val="1"/>
      <w:numFmt w:val="decimal"/>
      <w:lvlText w:val="%1.%2.%3.%4.%5.%6.%7."/>
      <w:lvlJc w:val="left"/>
      <w:pPr>
        <w:ind w:left="5178" w:hanging="2160"/>
      </w:pPr>
      <w:rPr>
        <w:rFonts w:ascii="Arial" w:hAnsi="Arial" w:cs="Arial" w:hint="default"/>
        <w:sz w:val="28"/>
      </w:rPr>
    </w:lvl>
    <w:lvl w:ilvl="7">
      <w:start w:val="1"/>
      <w:numFmt w:val="decimal"/>
      <w:lvlText w:val="%1.%2.%3.%4.%5.%6.%7.%8."/>
      <w:lvlJc w:val="left"/>
      <w:pPr>
        <w:ind w:left="5681" w:hanging="2160"/>
      </w:pPr>
      <w:rPr>
        <w:rFonts w:ascii="Arial" w:hAnsi="Arial" w:cs="Arial" w:hint="default"/>
        <w:sz w:val="28"/>
      </w:rPr>
    </w:lvl>
    <w:lvl w:ilvl="8">
      <w:start w:val="1"/>
      <w:numFmt w:val="decimal"/>
      <w:lvlText w:val="%1.%2.%3.%4.%5.%6.%7.%8.%9."/>
      <w:lvlJc w:val="left"/>
      <w:pPr>
        <w:ind w:left="6544" w:hanging="2520"/>
      </w:pPr>
      <w:rPr>
        <w:rFonts w:ascii="Arial" w:hAnsi="Arial" w:cs="Arial" w:hint="default"/>
        <w:sz w:val="28"/>
      </w:rPr>
    </w:lvl>
  </w:abstractNum>
  <w:abstractNum w:abstractNumId="15" w15:restartNumberingAfterBreak="0">
    <w:nsid w:val="1F5E1AD5"/>
    <w:multiLevelType w:val="multilevel"/>
    <w:tmpl w:val="16BEF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94CEB"/>
    <w:multiLevelType w:val="multilevel"/>
    <w:tmpl w:val="4F00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D1AA5"/>
    <w:multiLevelType w:val="hybridMultilevel"/>
    <w:tmpl w:val="8A0C7728"/>
    <w:lvl w:ilvl="0" w:tplc="BAF835E8">
      <w:start w:val="1"/>
      <w:numFmt w:val="decimal"/>
      <w:lvlText w:val="%1."/>
      <w:lvlJc w:val="left"/>
      <w:pPr>
        <w:ind w:left="23" w:hanging="240"/>
      </w:pPr>
      <w:rPr>
        <w:rFonts w:ascii="Arial" w:eastAsia="Times New Roman" w:hAnsi="Arial" w:cs="Arial" w:hint="default"/>
        <w:b/>
        <w:bCs/>
        <w:i w:val="0"/>
        <w:iCs w:val="0"/>
        <w:color w:val="0070C0"/>
        <w:spacing w:val="0"/>
        <w:w w:val="100"/>
        <w:sz w:val="24"/>
        <w:szCs w:val="24"/>
        <w:lang w:val="en-US" w:eastAsia="en-US" w:bidi="ar-SA"/>
      </w:rPr>
    </w:lvl>
    <w:lvl w:ilvl="1" w:tplc="81D65836">
      <w:numFmt w:val="bullet"/>
      <w:lvlText w:val="●"/>
      <w:lvlJc w:val="left"/>
      <w:pPr>
        <w:ind w:left="743" w:hanging="360"/>
      </w:pPr>
      <w:rPr>
        <w:rFonts w:ascii="Arial" w:eastAsia="Arial" w:hAnsi="Arial" w:cs="Arial" w:hint="default"/>
        <w:spacing w:val="0"/>
        <w:w w:val="100"/>
        <w:lang w:val="en-US" w:eastAsia="en-US" w:bidi="ar-SA"/>
      </w:rPr>
    </w:lvl>
    <w:lvl w:ilvl="2" w:tplc="762E570E">
      <w:numFmt w:val="bullet"/>
      <w:lvlText w:val="▪"/>
      <w:lvlJc w:val="left"/>
      <w:pPr>
        <w:ind w:left="1163" w:hanging="360"/>
      </w:pPr>
      <w:rPr>
        <w:rFonts w:ascii="Times New Roman" w:eastAsia="Times New Roman" w:hAnsi="Times New Roman" w:cs="Times New Roman" w:hint="default"/>
        <w:spacing w:val="0"/>
        <w:w w:val="100"/>
        <w:lang w:val="en-US" w:eastAsia="en-US" w:bidi="ar-SA"/>
      </w:rPr>
    </w:lvl>
    <w:lvl w:ilvl="3" w:tplc="0868BD96">
      <w:numFmt w:val="bullet"/>
      <w:lvlText w:val="•"/>
      <w:lvlJc w:val="left"/>
      <w:pPr>
        <w:ind w:left="2150" w:hanging="360"/>
      </w:pPr>
      <w:rPr>
        <w:rFonts w:hint="default"/>
        <w:lang w:val="en-US" w:eastAsia="en-US" w:bidi="ar-SA"/>
      </w:rPr>
    </w:lvl>
    <w:lvl w:ilvl="4" w:tplc="B9128956">
      <w:numFmt w:val="bullet"/>
      <w:lvlText w:val="•"/>
      <w:lvlJc w:val="left"/>
      <w:pPr>
        <w:ind w:left="3141" w:hanging="360"/>
      </w:pPr>
      <w:rPr>
        <w:rFonts w:hint="default"/>
        <w:lang w:val="en-US" w:eastAsia="en-US" w:bidi="ar-SA"/>
      </w:rPr>
    </w:lvl>
    <w:lvl w:ilvl="5" w:tplc="08A60D0A">
      <w:numFmt w:val="bullet"/>
      <w:lvlText w:val="•"/>
      <w:lvlJc w:val="left"/>
      <w:pPr>
        <w:ind w:left="4132" w:hanging="360"/>
      </w:pPr>
      <w:rPr>
        <w:rFonts w:hint="default"/>
        <w:lang w:val="en-US" w:eastAsia="en-US" w:bidi="ar-SA"/>
      </w:rPr>
    </w:lvl>
    <w:lvl w:ilvl="6" w:tplc="968CFFBC">
      <w:numFmt w:val="bullet"/>
      <w:lvlText w:val="•"/>
      <w:lvlJc w:val="left"/>
      <w:pPr>
        <w:ind w:left="5123" w:hanging="360"/>
      </w:pPr>
      <w:rPr>
        <w:rFonts w:hint="default"/>
        <w:lang w:val="en-US" w:eastAsia="en-US" w:bidi="ar-SA"/>
      </w:rPr>
    </w:lvl>
    <w:lvl w:ilvl="7" w:tplc="6EC628B8">
      <w:numFmt w:val="bullet"/>
      <w:lvlText w:val="•"/>
      <w:lvlJc w:val="left"/>
      <w:pPr>
        <w:ind w:left="6113" w:hanging="360"/>
      </w:pPr>
      <w:rPr>
        <w:rFonts w:hint="default"/>
        <w:lang w:val="en-US" w:eastAsia="en-US" w:bidi="ar-SA"/>
      </w:rPr>
    </w:lvl>
    <w:lvl w:ilvl="8" w:tplc="7CEAA334">
      <w:numFmt w:val="bullet"/>
      <w:lvlText w:val="•"/>
      <w:lvlJc w:val="left"/>
      <w:pPr>
        <w:ind w:left="7104" w:hanging="360"/>
      </w:pPr>
      <w:rPr>
        <w:rFonts w:hint="default"/>
        <w:lang w:val="en-US" w:eastAsia="en-US" w:bidi="ar-SA"/>
      </w:rPr>
    </w:lvl>
  </w:abstractNum>
  <w:abstractNum w:abstractNumId="18" w15:restartNumberingAfterBreak="0">
    <w:nsid w:val="25B7271B"/>
    <w:multiLevelType w:val="multilevel"/>
    <w:tmpl w:val="F46A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61A19"/>
    <w:multiLevelType w:val="multilevel"/>
    <w:tmpl w:val="EB3E43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D30A9E"/>
    <w:multiLevelType w:val="multilevel"/>
    <w:tmpl w:val="6234F7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85BD4"/>
    <w:multiLevelType w:val="multilevel"/>
    <w:tmpl w:val="72828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452275"/>
    <w:multiLevelType w:val="multilevel"/>
    <w:tmpl w:val="D55227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6D2FE6"/>
    <w:multiLevelType w:val="multilevel"/>
    <w:tmpl w:val="61EE4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54979"/>
    <w:multiLevelType w:val="multilevel"/>
    <w:tmpl w:val="E6C6E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2938E4"/>
    <w:multiLevelType w:val="hybridMultilevel"/>
    <w:tmpl w:val="740A34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37980AFD"/>
    <w:multiLevelType w:val="multilevel"/>
    <w:tmpl w:val="919A5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22793"/>
    <w:multiLevelType w:val="multilevel"/>
    <w:tmpl w:val="C8B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DC33A7"/>
    <w:multiLevelType w:val="hybridMultilevel"/>
    <w:tmpl w:val="BAEC9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84A30BC"/>
    <w:multiLevelType w:val="multilevel"/>
    <w:tmpl w:val="C3A65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B232C4"/>
    <w:multiLevelType w:val="hybridMultilevel"/>
    <w:tmpl w:val="7BDAF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D372D83"/>
    <w:multiLevelType w:val="hybridMultilevel"/>
    <w:tmpl w:val="0EF091A6"/>
    <w:lvl w:ilvl="0" w:tplc="0809000B">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3D523DFB"/>
    <w:multiLevelType w:val="multilevel"/>
    <w:tmpl w:val="3230C6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B767AD"/>
    <w:multiLevelType w:val="multilevel"/>
    <w:tmpl w:val="40B00B26"/>
    <w:lvl w:ilvl="0">
      <w:start w:val="2"/>
      <w:numFmt w:val="decimal"/>
      <w:lvlText w:val="%1"/>
      <w:lvlJc w:val="left"/>
      <w:pPr>
        <w:ind w:left="384" w:hanging="384"/>
      </w:pPr>
      <w:rPr>
        <w:rFonts w:ascii="Arial" w:hAnsi="Arial" w:cs="Arial" w:hint="default"/>
        <w:sz w:val="28"/>
      </w:rPr>
    </w:lvl>
    <w:lvl w:ilvl="1">
      <w:start w:val="1"/>
      <w:numFmt w:val="decimal"/>
      <w:lvlText w:val="%1.%2"/>
      <w:lvlJc w:val="left"/>
      <w:pPr>
        <w:ind w:left="720" w:hanging="720"/>
      </w:pPr>
      <w:rPr>
        <w:rFonts w:ascii="Arial" w:hAnsi="Arial" w:cs="Arial" w:hint="default"/>
        <w:sz w:val="28"/>
      </w:rPr>
    </w:lvl>
    <w:lvl w:ilvl="2">
      <w:start w:val="1"/>
      <w:numFmt w:val="decimal"/>
      <w:lvlText w:val="%1.%2.%3"/>
      <w:lvlJc w:val="left"/>
      <w:pPr>
        <w:ind w:left="720" w:hanging="720"/>
      </w:pPr>
      <w:rPr>
        <w:rFonts w:ascii="Arial" w:hAnsi="Arial" w:cs="Arial" w:hint="default"/>
        <w:sz w:val="28"/>
      </w:rPr>
    </w:lvl>
    <w:lvl w:ilvl="3">
      <w:start w:val="1"/>
      <w:numFmt w:val="decimal"/>
      <w:lvlText w:val="%1.%2.%3.%4"/>
      <w:lvlJc w:val="left"/>
      <w:pPr>
        <w:ind w:left="1080" w:hanging="1080"/>
      </w:pPr>
      <w:rPr>
        <w:rFonts w:ascii="Arial" w:hAnsi="Arial" w:cs="Arial" w:hint="default"/>
        <w:sz w:val="28"/>
      </w:rPr>
    </w:lvl>
    <w:lvl w:ilvl="4">
      <w:start w:val="1"/>
      <w:numFmt w:val="decimal"/>
      <w:lvlText w:val="%1.%2.%3.%4.%5"/>
      <w:lvlJc w:val="left"/>
      <w:pPr>
        <w:ind w:left="1440" w:hanging="1440"/>
      </w:pPr>
      <w:rPr>
        <w:rFonts w:ascii="Arial" w:hAnsi="Arial" w:cs="Arial" w:hint="default"/>
        <w:sz w:val="28"/>
      </w:rPr>
    </w:lvl>
    <w:lvl w:ilvl="5">
      <w:start w:val="1"/>
      <w:numFmt w:val="decimal"/>
      <w:lvlText w:val="%1.%2.%3.%4.%5.%6"/>
      <w:lvlJc w:val="left"/>
      <w:pPr>
        <w:ind w:left="1800" w:hanging="1800"/>
      </w:pPr>
      <w:rPr>
        <w:rFonts w:ascii="Arial" w:hAnsi="Arial" w:cs="Arial" w:hint="default"/>
        <w:sz w:val="28"/>
      </w:rPr>
    </w:lvl>
    <w:lvl w:ilvl="6">
      <w:start w:val="1"/>
      <w:numFmt w:val="decimal"/>
      <w:lvlText w:val="%1.%2.%3.%4.%5.%6.%7"/>
      <w:lvlJc w:val="left"/>
      <w:pPr>
        <w:ind w:left="1800" w:hanging="1800"/>
      </w:pPr>
      <w:rPr>
        <w:rFonts w:ascii="Arial" w:hAnsi="Arial" w:cs="Arial" w:hint="default"/>
        <w:sz w:val="28"/>
      </w:rPr>
    </w:lvl>
    <w:lvl w:ilvl="7">
      <w:start w:val="1"/>
      <w:numFmt w:val="decimal"/>
      <w:lvlText w:val="%1.%2.%3.%4.%5.%6.%7.%8"/>
      <w:lvlJc w:val="left"/>
      <w:pPr>
        <w:ind w:left="2160" w:hanging="2160"/>
      </w:pPr>
      <w:rPr>
        <w:rFonts w:ascii="Arial" w:hAnsi="Arial" w:cs="Arial" w:hint="default"/>
        <w:sz w:val="28"/>
      </w:rPr>
    </w:lvl>
    <w:lvl w:ilvl="8">
      <w:start w:val="1"/>
      <w:numFmt w:val="decimal"/>
      <w:lvlText w:val="%1.%2.%3.%4.%5.%6.%7.%8.%9"/>
      <w:lvlJc w:val="left"/>
      <w:pPr>
        <w:ind w:left="2520" w:hanging="2520"/>
      </w:pPr>
      <w:rPr>
        <w:rFonts w:ascii="Arial" w:hAnsi="Arial" w:cs="Arial" w:hint="default"/>
        <w:sz w:val="28"/>
      </w:rPr>
    </w:lvl>
  </w:abstractNum>
  <w:abstractNum w:abstractNumId="34" w15:restartNumberingAfterBreak="0">
    <w:nsid w:val="436E0683"/>
    <w:multiLevelType w:val="multilevel"/>
    <w:tmpl w:val="A8DCA7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B0018F"/>
    <w:multiLevelType w:val="multilevel"/>
    <w:tmpl w:val="E72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663117"/>
    <w:multiLevelType w:val="hybridMultilevel"/>
    <w:tmpl w:val="179E55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4B631D4"/>
    <w:multiLevelType w:val="multilevel"/>
    <w:tmpl w:val="63868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E4199B"/>
    <w:multiLevelType w:val="multilevel"/>
    <w:tmpl w:val="EF0A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2E15D0"/>
    <w:multiLevelType w:val="hybridMultilevel"/>
    <w:tmpl w:val="B308E95A"/>
    <w:lvl w:ilvl="0" w:tplc="FFFFFFFF">
      <w:start w:val="1"/>
      <w:numFmt w:val="bullet"/>
      <w:lvlText w:val=""/>
      <w:lvlJc w:val="left"/>
      <w:pPr>
        <w:ind w:left="720" w:hanging="360"/>
      </w:pPr>
      <w:rPr>
        <w:rFonts w:ascii="Symbol" w:hAnsi="Symbol" w:hint="default"/>
      </w:rPr>
    </w:lvl>
    <w:lvl w:ilvl="1" w:tplc="0809000B">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20F6201"/>
    <w:multiLevelType w:val="hybridMultilevel"/>
    <w:tmpl w:val="31945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2DB58DB"/>
    <w:multiLevelType w:val="multilevel"/>
    <w:tmpl w:val="4A6A5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E921B7"/>
    <w:multiLevelType w:val="multilevel"/>
    <w:tmpl w:val="47C8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85308A"/>
    <w:multiLevelType w:val="hybridMultilevel"/>
    <w:tmpl w:val="D95A0A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5FFC0E41"/>
    <w:multiLevelType w:val="hybridMultilevel"/>
    <w:tmpl w:val="F5ECE018"/>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5" w15:restartNumberingAfterBreak="0">
    <w:nsid w:val="61816CF7"/>
    <w:multiLevelType w:val="hybridMultilevel"/>
    <w:tmpl w:val="454E2DFC"/>
    <w:lvl w:ilvl="0" w:tplc="08090007">
      <w:start w:val="1"/>
      <w:numFmt w:val="bullet"/>
      <w:lvlText w:val=""/>
      <w:lvlPicBulletId w:val="0"/>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6" w15:restartNumberingAfterBreak="0">
    <w:nsid w:val="651F2FED"/>
    <w:multiLevelType w:val="multilevel"/>
    <w:tmpl w:val="B766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323E78"/>
    <w:multiLevelType w:val="multilevel"/>
    <w:tmpl w:val="830A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4469B6"/>
    <w:multiLevelType w:val="multilevel"/>
    <w:tmpl w:val="57887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2A5132"/>
    <w:multiLevelType w:val="multilevel"/>
    <w:tmpl w:val="83E6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D441B4"/>
    <w:multiLevelType w:val="hybridMultilevel"/>
    <w:tmpl w:val="4740C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9EA621B"/>
    <w:multiLevelType w:val="multilevel"/>
    <w:tmpl w:val="F1B8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7A7C57"/>
    <w:multiLevelType w:val="multilevel"/>
    <w:tmpl w:val="6234F78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7B54280C"/>
    <w:multiLevelType w:val="hybridMultilevel"/>
    <w:tmpl w:val="EC0AB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B5A731C"/>
    <w:multiLevelType w:val="multilevel"/>
    <w:tmpl w:val="A6DC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6A42AD"/>
    <w:multiLevelType w:val="multilevel"/>
    <w:tmpl w:val="438E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317E86"/>
    <w:multiLevelType w:val="hybridMultilevel"/>
    <w:tmpl w:val="646276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108110905">
    <w:abstractNumId w:val="25"/>
  </w:num>
  <w:num w:numId="2" w16cid:durableId="1595899455">
    <w:abstractNumId w:val="11"/>
  </w:num>
  <w:num w:numId="3" w16cid:durableId="1111247001">
    <w:abstractNumId w:val="10"/>
  </w:num>
  <w:num w:numId="4" w16cid:durableId="131562722">
    <w:abstractNumId w:val="55"/>
  </w:num>
  <w:num w:numId="5" w16cid:durableId="781848446">
    <w:abstractNumId w:val="6"/>
  </w:num>
  <w:num w:numId="6" w16cid:durableId="1781802279">
    <w:abstractNumId w:val="17"/>
  </w:num>
  <w:num w:numId="7" w16cid:durableId="1086532719">
    <w:abstractNumId w:val="14"/>
  </w:num>
  <w:num w:numId="8" w16cid:durableId="1376079042">
    <w:abstractNumId w:val="45"/>
  </w:num>
  <w:num w:numId="9" w16cid:durableId="313069848">
    <w:abstractNumId w:val="33"/>
  </w:num>
  <w:num w:numId="10" w16cid:durableId="78334157">
    <w:abstractNumId w:val="12"/>
  </w:num>
  <w:num w:numId="11" w16cid:durableId="782115850">
    <w:abstractNumId w:val="24"/>
  </w:num>
  <w:num w:numId="12" w16cid:durableId="232588756">
    <w:abstractNumId w:val="36"/>
  </w:num>
  <w:num w:numId="13" w16cid:durableId="1309239984">
    <w:abstractNumId w:val="23"/>
  </w:num>
  <w:num w:numId="14" w16cid:durableId="496961141">
    <w:abstractNumId w:val="9"/>
  </w:num>
  <w:num w:numId="15" w16cid:durableId="862668418">
    <w:abstractNumId w:val="31"/>
  </w:num>
  <w:num w:numId="16" w16cid:durableId="1360861617">
    <w:abstractNumId w:val="44"/>
  </w:num>
  <w:num w:numId="17" w16cid:durableId="208566018">
    <w:abstractNumId w:val="39"/>
  </w:num>
  <w:num w:numId="18" w16cid:durableId="1591885329">
    <w:abstractNumId w:val="46"/>
  </w:num>
  <w:num w:numId="19" w16cid:durableId="1002270890">
    <w:abstractNumId w:val="41"/>
  </w:num>
  <w:num w:numId="20" w16cid:durableId="361247452">
    <w:abstractNumId w:val="49"/>
  </w:num>
  <w:num w:numId="21" w16cid:durableId="913391703">
    <w:abstractNumId w:val="48"/>
  </w:num>
  <w:num w:numId="22" w16cid:durableId="2125230602">
    <w:abstractNumId w:val="20"/>
  </w:num>
  <w:num w:numId="23" w16cid:durableId="564529969">
    <w:abstractNumId w:val="52"/>
  </w:num>
  <w:num w:numId="24" w16cid:durableId="1398749325">
    <w:abstractNumId w:val="37"/>
  </w:num>
  <w:num w:numId="25" w16cid:durableId="1831210024">
    <w:abstractNumId w:val="2"/>
  </w:num>
  <w:num w:numId="26" w16cid:durableId="1581133773">
    <w:abstractNumId w:val="19"/>
  </w:num>
  <w:num w:numId="27" w16cid:durableId="2028171605">
    <w:abstractNumId w:val="32"/>
  </w:num>
  <w:num w:numId="28" w16cid:durableId="47074866">
    <w:abstractNumId w:val="3"/>
  </w:num>
  <w:num w:numId="29" w16cid:durableId="1369062011">
    <w:abstractNumId w:val="15"/>
  </w:num>
  <w:num w:numId="30" w16cid:durableId="1699820517">
    <w:abstractNumId w:val="26"/>
  </w:num>
  <w:num w:numId="31" w16cid:durableId="167064641">
    <w:abstractNumId w:val="34"/>
  </w:num>
  <w:num w:numId="32" w16cid:durableId="340207459">
    <w:abstractNumId w:val="21"/>
  </w:num>
  <w:num w:numId="33" w16cid:durableId="658264747">
    <w:abstractNumId w:val="54"/>
  </w:num>
  <w:num w:numId="34" w16cid:durableId="367685422">
    <w:abstractNumId w:val="27"/>
  </w:num>
  <w:num w:numId="35" w16cid:durableId="997541485">
    <w:abstractNumId w:val="4"/>
  </w:num>
  <w:num w:numId="36" w16cid:durableId="1827547030">
    <w:abstractNumId w:val="43"/>
  </w:num>
  <w:num w:numId="37" w16cid:durableId="1475952103">
    <w:abstractNumId w:val="29"/>
  </w:num>
  <w:num w:numId="38" w16cid:durableId="938024218">
    <w:abstractNumId w:val="51"/>
  </w:num>
  <w:num w:numId="39" w16cid:durableId="189223865">
    <w:abstractNumId w:val="16"/>
  </w:num>
  <w:num w:numId="40" w16cid:durableId="1935240916">
    <w:abstractNumId w:val="8"/>
  </w:num>
  <w:num w:numId="41" w16cid:durableId="225575988">
    <w:abstractNumId w:val="22"/>
  </w:num>
  <w:num w:numId="42" w16cid:durableId="940261857">
    <w:abstractNumId w:val="7"/>
  </w:num>
  <w:num w:numId="43" w16cid:durableId="315455538">
    <w:abstractNumId w:val="50"/>
  </w:num>
  <w:num w:numId="44" w16cid:durableId="423958882">
    <w:abstractNumId w:val="53"/>
  </w:num>
  <w:num w:numId="45" w16cid:durableId="1035890172">
    <w:abstractNumId w:val="30"/>
  </w:num>
  <w:num w:numId="46" w16cid:durableId="1081103560">
    <w:abstractNumId w:val="28"/>
  </w:num>
  <w:num w:numId="47" w16cid:durableId="1662271343">
    <w:abstractNumId w:val="42"/>
  </w:num>
  <w:num w:numId="48" w16cid:durableId="119493958">
    <w:abstractNumId w:val="13"/>
  </w:num>
  <w:num w:numId="49" w16cid:durableId="1068840589">
    <w:abstractNumId w:val="56"/>
  </w:num>
  <w:num w:numId="50" w16cid:durableId="605499898">
    <w:abstractNumId w:val="38"/>
  </w:num>
  <w:num w:numId="51" w16cid:durableId="346180858">
    <w:abstractNumId w:val="40"/>
  </w:num>
  <w:num w:numId="52" w16cid:durableId="1736051405">
    <w:abstractNumId w:val="18"/>
  </w:num>
  <w:num w:numId="53" w16cid:durableId="329792965">
    <w:abstractNumId w:val="5"/>
  </w:num>
  <w:num w:numId="54" w16cid:durableId="854268025">
    <w:abstractNumId w:val="1"/>
  </w:num>
  <w:num w:numId="55" w16cid:durableId="445930858">
    <w:abstractNumId w:val="0"/>
  </w:num>
  <w:num w:numId="56" w16cid:durableId="424617292">
    <w:abstractNumId w:val="35"/>
  </w:num>
  <w:num w:numId="57" w16cid:durableId="2030061014">
    <w:abstractNumId w:val="4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2AF"/>
    <w:rsid w:val="0001188A"/>
    <w:rsid w:val="00016F53"/>
    <w:rsid w:val="000258D2"/>
    <w:rsid w:val="000279D1"/>
    <w:rsid w:val="00032038"/>
    <w:rsid w:val="00046151"/>
    <w:rsid w:val="00051DEA"/>
    <w:rsid w:val="00071E8C"/>
    <w:rsid w:val="00081DEA"/>
    <w:rsid w:val="000A40FE"/>
    <w:rsid w:val="000A4549"/>
    <w:rsid w:val="000A5621"/>
    <w:rsid w:val="000B386B"/>
    <w:rsid w:val="000D46E5"/>
    <w:rsid w:val="000D78FF"/>
    <w:rsid w:val="000F147D"/>
    <w:rsid w:val="000F5DC2"/>
    <w:rsid w:val="00100690"/>
    <w:rsid w:val="00113015"/>
    <w:rsid w:val="001347FC"/>
    <w:rsid w:val="001348B7"/>
    <w:rsid w:val="00134DED"/>
    <w:rsid w:val="00135A64"/>
    <w:rsid w:val="00137561"/>
    <w:rsid w:val="00153592"/>
    <w:rsid w:val="001614B7"/>
    <w:rsid w:val="0016338D"/>
    <w:rsid w:val="00163BDC"/>
    <w:rsid w:val="001742AF"/>
    <w:rsid w:val="001A2FC4"/>
    <w:rsid w:val="001E0A55"/>
    <w:rsid w:val="0020583A"/>
    <w:rsid w:val="00225174"/>
    <w:rsid w:val="002315B8"/>
    <w:rsid w:val="002338A7"/>
    <w:rsid w:val="002425C2"/>
    <w:rsid w:val="00252EEA"/>
    <w:rsid w:val="002606EA"/>
    <w:rsid w:val="00261E77"/>
    <w:rsid w:val="002B0DA4"/>
    <w:rsid w:val="002B6D6B"/>
    <w:rsid w:val="002D5045"/>
    <w:rsid w:val="002E6E39"/>
    <w:rsid w:val="002F1F14"/>
    <w:rsid w:val="002F6329"/>
    <w:rsid w:val="00300617"/>
    <w:rsid w:val="00307304"/>
    <w:rsid w:val="003139A5"/>
    <w:rsid w:val="003147B2"/>
    <w:rsid w:val="00326AB4"/>
    <w:rsid w:val="00344D49"/>
    <w:rsid w:val="0034623E"/>
    <w:rsid w:val="00346BBB"/>
    <w:rsid w:val="00357615"/>
    <w:rsid w:val="0039207E"/>
    <w:rsid w:val="003C4324"/>
    <w:rsid w:val="003D1B85"/>
    <w:rsid w:val="003E43AB"/>
    <w:rsid w:val="00415B6C"/>
    <w:rsid w:val="004163E1"/>
    <w:rsid w:val="00420BEB"/>
    <w:rsid w:val="00422202"/>
    <w:rsid w:val="00443B0E"/>
    <w:rsid w:val="00443C42"/>
    <w:rsid w:val="0047601B"/>
    <w:rsid w:val="00492E09"/>
    <w:rsid w:val="004B7583"/>
    <w:rsid w:val="004D54F5"/>
    <w:rsid w:val="004D55E4"/>
    <w:rsid w:val="004D680F"/>
    <w:rsid w:val="00510D2C"/>
    <w:rsid w:val="00527128"/>
    <w:rsid w:val="00542164"/>
    <w:rsid w:val="00545825"/>
    <w:rsid w:val="0055200A"/>
    <w:rsid w:val="005624BE"/>
    <w:rsid w:val="00574CE0"/>
    <w:rsid w:val="005B727F"/>
    <w:rsid w:val="005C3A85"/>
    <w:rsid w:val="005E3BDA"/>
    <w:rsid w:val="00652303"/>
    <w:rsid w:val="00656C08"/>
    <w:rsid w:val="00663B40"/>
    <w:rsid w:val="00663E13"/>
    <w:rsid w:val="00670621"/>
    <w:rsid w:val="00691FAD"/>
    <w:rsid w:val="00692033"/>
    <w:rsid w:val="006F057E"/>
    <w:rsid w:val="0070387C"/>
    <w:rsid w:val="0071698E"/>
    <w:rsid w:val="00743617"/>
    <w:rsid w:val="007445FF"/>
    <w:rsid w:val="00760E71"/>
    <w:rsid w:val="00772444"/>
    <w:rsid w:val="00773C29"/>
    <w:rsid w:val="00794EB2"/>
    <w:rsid w:val="00795B29"/>
    <w:rsid w:val="007A7D30"/>
    <w:rsid w:val="007E03D3"/>
    <w:rsid w:val="007E2D1F"/>
    <w:rsid w:val="007F6CDB"/>
    <w:rsid w:val="007F771A"/>
    <w:rsid w:val="00822E3A"/>
    <w:rsid w:val="00851FE7"/>
    <w:rsid w:val="008668D7"/>
    <w:rsid w:val="00867C30"/>
    <w:rsid w:val="00897FB1"/>
    <w:rsid w:val="008B09D5"/>
    <w:rsid w:val="008B4AAB"/>
    <w:rsid w:val="008B5F13"/>
    <w:rsid w:val="008D189B"/>
    <w:rsid w:val="008F08B9"/>
    <w:rsid w:val="008F1714"/>
    <w:rsid w:val="008F5054"/>
    <w:rsid w:val="009037AC"/>
    <w:rsid w:val="0091390A"/>
    <w:rsid w:val="0093031F"/>
    <w:rsid w:val="009347C4"/>
    <w:rsid w:val="00935B11"/>
    <w:rsid w:val="0094787C"/>
    <w:rsid w:val="009513F3"/>
    <w:rsid w:val="00957B6E"/>
    <w:rsid w:val="00995B0D"/>
    <w:rsid w:val="009A47B4"/>
    <w:rsid w:val="009D3083"/>
    <w:rsid w:val="009F3026"/>
    <w:rsid w:val="009F6FE3"/>
    <w:rsid w:val="00A15197"/>
    <w:rsid w:val="00A22236"/>
    <w:rsid w:val="00A6415C"/>
    <w:rsid w:val="00A67737"/>
    <w:rsid w:val="00A9619C"/>
    <w:rsid w:val="00AA2675"/>
    <w:rsid w:val="00AA7CE8"/>
    <w:rsid w:val="00AF08BE"/>
    <w:rsid w:val="00AF543D"/>
    <w:rsid w:val="00B11565"/>
    <w:rsid w:val="00B119F0"/>
    <w:rsid w:val="00B60624"/>
    <w:rsid w:val="00B711AA"/>
    <w:rsid w:val="00B72756"/>
    <w:rsid w:val="00B9573E"/>
    <w:rsid w:val="00BA0511"/>
    <w:rsid w:val="00BA1887"/>
    <w:rsid w:val="00BC2A90"/>
    <w:rsid w:val="00BD1066"/>
    <w:rsid w:val="00BD422C"/>
    <w:rsid w:val="00BF31B6"/>
    <w:rsid w:val="00C1096D"/>
    <w:rsid w:val="00C30637"/>
    <w:rsid w:val="00C50CF1"/>
    <w:rsid w:val="00C80D0E"/>
    <w:rsid w:val="00C83ED5"/>
    <w:rsid w:val="00C848EF"/>
    <w:rsid w:val="00CA3A58"/>
    <w:rsid w:val="00CA6C57"/>
    <w:rsid w:val="00CD2002"/>
    <w:rsid w:val="00CD4965"/>
    <w:rsid w:val="00CD4E63"/>
    <w:rsid w:val="00CE212F"/>
    <w:rsid w:val="00CF0A50"/>
    <w:rsid w:val="00CF1F52"/>
    <w:rsid w:val="00CF41A7"/>
    <w:rsid w:val="00CF6BC1"/>
    <w:rsid w:val="00D036FA"/>
    <w:rsid w:val="00D1102D"/>
    <w:rsid w:val="00D148BA"/>
    <w:rsid w:val="00D32B30"/>
    <w:rsid w:val="00D444E6"/>
    <w:rsid w:val="00D5110E"/>
    <w:rsid w:val="00D55651"/>
    <w:rsid w:val="00D7565C"/>
    <w:rsid w:val="00D96FB8"/>
    <w:rsid w:val="00DA753B"/>
    <w:rsid w:val="00DB0238"/>
    <w:rsid w:val="00DC2377"/>
    <w:rsid w:val="00DD7931"/>
    <w:rsid w:val="00E0624C"/>
    <w:rsid w:val="00E10EED"/>
    <w:rsid w:val="00E12FEA"/>
    <w:rsid w:val="00E27B95"/>
    <w:rsid w:val="00E46B3A"/>
    <w:rsid w:val="00E52413"/>
    <w:rsid w:val="00E626D3"/>
    <w:rsid w:val="00E71A53"/>
    <w:rsid w:val="00E92070"/>
    <w:rsid w:val="00EA6D02"/>
    <w:rsid w:val="00EC1B30"/>
    <w:rsid w:val="00EC4BA3"/>
    <w:rsid w:val="00EC7169"/>
    <w:rsid w:val="00ED60AD"/>
    <w:rsid w:val="00EE64A7"/>
    <w:rsid w:val="00F01A2C"/>
    <w:rsid w:val="00F01F45"/>
    <w:rsid w:val="00F023AE"/>
    <w:rsid w:val="00F573C7"/>
    <w:rsid w:val="00F70FBA"/>
    <w:rsid w:val="00F77224"/>
    <w:rsid w:val="00F95462"/>
    <w:rsid w:val="00FF44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DD96"/>
  <w15:chartTrackingRefBased/>
  <w15:docId w15:val="{5286DACC-7AA7-4CA6-906C-8EE94832B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2AF"/>
  </w:style>
  <w:style w:type="paragraph" w:styleId="Heading1">
    <w:name w:val="heading 1"/>
    <w:basedOn w:val="Normal"/>
    <w:next w:val="Normal"/>
    <w:link w:val="Heading1Char"/>
    <w:uiPriority w:val="9"/>
    <w:qFormat/>
    <w:rsid w:val="001742AF"/>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1742AF"/>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1742AF"/>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1742AF"/>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1742AF"/>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1742AF"/>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1742AF"/>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1742AF"/>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1742AF"/>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2AF"/>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1742A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1742AF"/>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1742AF"/>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1742AF"/>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1742AF"/>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1742AF"/>
    <w:rPr>
      <w:i/>
      <w:iCs/>
    </w:rPr>
  </w:style>
  <w:style w:type="character" w:customStyle="1" w:styleId="Heading8Char">
    <w:name w:val="Heading 8 Char"/>
    <w:basedOn w:val="DefaultParagraphFont"/>
    <w:link w:val="Heading8"/>
    <w:uiPriority w:val="9"/>
    <w:semiHidden/>
    <w:rsid w:val="001742AF"/>
    <w:rPr>
      <w:b/>
      <w:bCs/>
    </w:rPr>
  </w:style>
  <w:style w:type="character" w:customStyle="1" w:styleId="Heading9Char">
    <w:name w:val="Heading 9 Char"/>
    <w:basedOn w:val="DefaultParagraphFont"/>
    <w:link w:val="Heading9"/>
    <w:uiPriority w:val="9"/>
    <w:semiHidden/>
    <w:rsid w:val="001742AF"/>
    <w:rPr>
      <w:i/>
      <w:iCs/>
    </w:rPr>
  </w:style>
  <w:style w:type="paragraph" w:styleId="Title">
    <w:name w:val="Title"/>
    <w:basedOn w:val="Normal"/>
    <w:next w:val="Normal"/>
    <w:link w:val="TitleChar"/>
    <w:uiPriority w:val="10"/>
    <w:qFormat/>
    <w:rsid w:val="001742AF"/>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1742AF"/>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1742AF"/>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742AF"/>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1742AF"/>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1742AF"/>
    <w:rPr>
      <w:rFonts w:asciiTheme="majorHAnsi" w:eastAsiaTheme="majorEastAsia" w:hAnsiTheme="majorHAnsi" w:cstheme="majorBidi"/>
      <w:i/>
      <w:iCs/>
      <w:sz w:val="24"/>
      <w:szCs w:val="24"/>
    </w:rPr>
  </w:style>
  <w:style w:type="paragraph" w:styleId="ListParagraph">
    <w:name w:val="List Paragraph"/>
    <w:basedOn w:val="Normal"/>
    <w:uiPriority w:val="1"/>
    <w:qFormat/>
    <w:rsid w:val="001742AF"/>
    <w:pPr>
      <w:ind w:left="720"/>
      <w:contextualSpacing/>
    </w:pPr>
  </w:style>
  <w:style w:type="character" w:styleId="IntenseEmphasis">
    <w:name w:val="Intense Emphasis"/>
    <w:basedOn w:val="DefaultParagraphFont"/>
    <w:uiPriority w:val="21"/>
    <w:qFormat/>
    <w:rsid w:val="001742AF"/>
    <w:rPr>
      <w:b/>
      <w:bCs/>
      <w:i/>
      <w:iCs/>
      <w:color w:val="auto"/>
    </w:rPr>
  </w:style>
  <w:style w:type="paragraph" w:styleId="IntenseQuote">
    <w:name w:val="Intense Quote"/>
    <w:basedOn w:val="Normal"/>
    <w:next w:val="Normal"/>
    <w:link w:val="IntenseQuoteChar"/>
    <w:uiPriority w:val="30"/>
    <w:qFormat/>
    <w:rsid w:val="001742AF"/>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1742AF"/>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1742AF"/>
    <w:rPr>
      <w:b/>
      <w:bCs/>
      <w:smallCaps/>
      <w:color w:val="auto"/>
      <w:u w:val="single"/>
    </w:rPr>
  </w:style>
  <w:style w:type="paragraph" w:styleId="Caption">
    <w:name w:val="caption"/>
    <w:basedOn w:val="Normal"/>
    <w:next w:val="Normal"/>
    <w:uiPriority w:val="35"/>
    <w:semiHidden/>
    <w:unhideWhenUsed/>
    <w:qFormat/>
    <w:rsid w:val="001742AF"/>
    <w:rPr>
      <w:b/>
      <w:bCs/>
      <w:sz w:val="18"/>
      <w:szCs w:val="18"/>
    </w:rPr>
  </w:style>
  <w:style w:type="character" w:styleId="Strong">
    <w:name w:val="Strong"/>
    <w:basedOn w:val="DefaultParagraphFont"/>
    <w:uiPriority w:val="22"/>
    <w:qFormat/>
    <w:rsid w:val="001742AF"/>
    <w:rPr>
      <w:b/>
      <w:bCs/>
      <w:color w:val="auto"/>
    </w:rPr>
  </w:style>
  <w:style w:type="character" w:styleId="Emphasis">
    <w:name w:val="Emphasis"/>
    <w:basedOn w:val="DefaultParagraphFont"/>
    <w:uiPriority w:val="20"/>
    <w:qFormat/>
    <w:rsid w:val="001742AF"/>
    <w:rPr>
      <w:i/>
      <w:iCs/>
      <w:color w:val="auto"/>
    </w:rPr>
  </w:style>
  <w:style w:type="paragraph" w:styleId="NoSpacing">
    <w:name w:val="No Spacing"/>
    <w:uiPriority w:val="1"/>
    <w:qFormat/>
    <w:rsid w:val="001742AF"/>
    <w:pPr>
      <w:spacing w:after="0" w:line="240" w:lineRule="auto"/>
    </w:pPr>
  </w:style>
  <w:style w:type="character" w:styleId="SubtleEmphasis">
    <w:name w:val="Subtle Emphasis"/>
    <w:basedOn w:val="DefaultParagraphFont"/>
    <w:uiPriority w:val="19"/>
    <w:qFormat/>
    <w:rsid w:val="001742AF"/>
    <w:rPr>
      <w:i/>
      <w:iCs/>
      <w:color w:val="auto"/>
    </w:rPr>
  </w:style>
  <w:style w:type="character" w:styleId="SubtleReference">
    <w:name w:val="Subtle Reference"/>
    <w:basedOn w:val="DefaultParagraphFont"/>
    <w:uiPriority w:val="31"/>
    <w:qFormat/>
    <w:rsid w:val="001742AF"/>
    <w:rPr>
      <w:smallCaps/>
      <w:color w:val="auto"/>
      <w:u w:val="single" w:color="7F7F7F" w:themeColor="text1" w:themeTint="80"/>
    </w:rPr>
  </w:style>
  <w:style w:type="character" w:styleId="BookTitle">
    <w:name w:val="Book Title"/>
    <w:basedOn w:val="DefaultParagraphFont"/>
    <w:uiPriority w:val="33"/>
    <w:qFormat/>
    <w:rsid w:val="001742AF"/>
    <w:rPr>
      <w:b/>
      <w:bCs/>
      <w:smallCaps/>
      <w:color w:val="auto"/>
    </w:rPr>
  </w:style>
  <w:style w:type="paragraph" w:styleId="TOCHeading">
    <w:name w:val="TOC Heading"/>
    <w:basedOn w:val="Heading1"/>
    <w:next w:val="Normal"/>
    <w:uiPriority w:val="39"/>
    <w:semiHidden/>
    <w:unhideWhenUsed/>
    <w:qFormat/>
    <w:rsid w:val="001742AF"/>
    <w:pPr>
      <w:outlineLvl w:val="9"/>
    </w:pPr>
  </w:style>
  <w:style w:type="paragraph" w:customStyle="1" w:styleId="projectentri">
    <w:name w:val="project entri"/>
    <w:basedOn w:val="Normal"/>
    <w:link w:val="projectentriChar"/>
    <w:autoRedefine/>
    <w:qFormat/>
    <w:rsid w:val="00443C42"/>
    <w:pPr>
      <w:jc w:val="center"/>
    </w:pPr>
    <w:rPr>
      <w:rFonts w:ascii="Times New Roman" w:hAnsi="Times New Roman" w:cs="Times New Roman"/>
      <w:b/>
      <w:sz w:val="36"/>
      <w:szCs w:val="36"/>
    </w:rPr>
  </w:style>
  <w:style w:type="character" w:customStyle="1" w:styleId="projectentriChar">
    <w:name w:val="project entri Char"/>
    <w:basedOn w:val="DefaultParagraphFont"/>
    <w:link w:val="projectentri"/>
    <w:rsid w:val="00443C42"/>
    <w:rPr>
      <w:rFonts w:ascii="Times New Roman" w:hAnsi="Times New Roman" w:cs="Times New Roman"/>
      <w:b/>
      <w:sz w:val="36"/>
      <w:szCs w:val="36"/>
    </w:rPr>
  </w:style>
  <w:style w:type="character" w:styleId="Hyperlink">
    <w:name w:val="Hyperlink"/>
    <w:basedOn w:val="DefaultParagraphFont"/>
    <w:uiPriority w:val="99"/>
    <w:unhideWhenUsed/>
    <w:rsid w:val="00153592"/>
    <w:rPr>
      <w:color w:val="467886" w:themeColor="hyperlink"/>
      <w:u w:val="single"/>
    </w:rPr>
  </w:style>
  <w:style w:type="character" w:styleId="UnresolvedMention">
    <w:name w:val="Unresolved Mention"/>
    <w:basedOn w:val="DefaultParagraphFont"/>
    <w:uiPriority w:val="99"/>
    <w:semiHidden/>
    <w:unhideWhenUsed/>
    <w:rsid w:val="00153592"/>
    <w:rPr>
      <w:color w:val="605E5C"/>
      <w:shd w:val="clear" w:color="auto" w:fill="E1DFDD"/>
    </w:rPr>
  </w:style>
  <w:style w:type="table" w:styleId="TableGrid">
    <w:name w:val="Table Grid"/>
    <w:basedOn w:val="TableNormal"/>
    <w:uiPriority w:val="39"/>
    <w:rsid w:val="00D44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F08B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4138">
      <w:bodyDiv w:val="1"/>
      <w:marLeft w:val="0"/>
      <w:marRight w:val="0"/>
      <w:marTop w:val="0"/>
      <w:marBottom w:val="0"/>
      <w:divBdr>
        <w:top w:val="none" w:sz="0" w:space="0" w:color="auto"/>
        <w:left w:val="none" w:sz="0" w:space="0" w:color="auto"/>
        <w:bottom w:val="none" w:sz="0" w:space="0" w:color="auto"/>
        <w:right w:val="none" w:sz="0" w:space="0" w:color="auto"/>
      </w:divBdr>
    </w:div>
    <w:div w:id="71123545">
      <w:bodyDiv w:val="1"/>
      <w:marLeft w:val="0"/>
      <w:marRight w:val="0"/>
      <w:marTop w:val="0"/>
      <w:marBottom w:val="0"/>
      <w:divBdr>
        <w:top w:val="none" w:sz="0" w:space="0" w:color="auto"/>
        <w:left w:val="none" w:sz="0" w:space="0" w:color="auto"/>
        <w:bottom w:val="none" w:sz="0" w:space="0" w:color="auto"/>
        <w:right w:val="none" w:sz="0" w:space="0" w:color="auto"/>
      </w:divBdr>
    </w:div>
    <w:div w:id="138545724">
      <w:bodyDiv w:val="1"/>
      <w:marLeft w:val="0"/>
      <w:marRight w:val="0"/>
      <w:marTop w:val="0"/>
      <w:marBottom w:val="0"/>
      <w:divBdr>
        <w:top w:val="none" w:sz="0" w:space="0" w:color="auto"/>
        <w:left w:val="none" w:sz="0" w:space="0" w:color="auto"/>
        <w:bottom w:val="none" w:sz="0" w:space="0" w:color="auto"/>
        <w:right w:val="none" w:sz="0" w:space="0" w:color="auto"/>
      </w:divBdr>
    </w:div>
    <w:div w:id="151145078">
      <w:bodyDiv w:val="1"/>
      <w:marLeft w:val="0"/>
      <w:marRight w:val="0"/>
      <w:marTop w:val="0"/>
      <w:marBottom w:val="0"/>
      <w:divBdr>
        <w:top w:val="none" w:sz="0" w:space="0" w:color="auto"/>
        <w:left w:val="none" w:sz="0" w:space="0" w:color="auto"/>
        <w:bottom w:val="none" w:sz="0" w:space="0" w:color="auto"/>
        <w:right w:val="none" w:sz="0" w:space="0" w:color="auto"/>
      </w:divBdr>
    </w:div>
    <w:div w:id="154879809">
      <w:bodyDiv w:val="1"/>
      <w:marLeft w:val="0"/>
      <w:marRight w:val="0"/>
      <w:marTop w:val="0"/>
      <w:marBottom w:val="0"/>
      <w:divBdr>
        <w:top w:val="none" w:sz="0" w:space="0" w:color="auto"/>
        <w:left w:val="none" w:sz="0" w:space="0" w:color="auto"/>
        <w:bottom w:val="none" w:sz="0" w:space="0" w:color="auto"/>
        <w:right w:val="none" w:sz="0" w:space="0" w:color="auto"/>
      </w:divBdr>
    </w:div>
    <w:div w:id="187182083">
      <w:bodyDiv w:val="1"/>
      <w:marLeft w:val="0"/>
      <w:marRight w:val="0"/>
      <w:marTop w:val="0"/>
      <w:marBottom w:val="0"/>
      <w:divBdr>
        <w:top w:val="none" w:sz="0" w:space="0" w:color="auto"/>
        <w:left w:val="none" w:sz="0" w:space="0" w:color="auto"/>
        <w:bottom w:val="none" w:sz="0" w:space="0" w:color="auto"/>
        <w:right w:val="none" w:sz="0" w:space="0" w:color="auto"/>
      </w:divBdr>
    </w:div>
    <w:div w:id="202405716">
      <w:bodyDiv w:val="1"/>
      <w:marLeft w:val="0"/>
      <w:marRight w:val="0"/>
      <w:marTop w:val="0"/>
      <w:marBottom w:val="0"/>
      <w:divBdr>
        <w:top w:val="none" w:sz="0" w:space="0" w:color="auto"/>
        <w:left w:val="none" w:sz="0" w:space="0" w:color="auto"/>
        <w:bottom w:val="none" w:sz="0" w:space="0" w:color="auto"/>
        <w:right w:val="none" w:sz="0" w:space="0" w:color="auto"/>
      </w:divBdr>
    </w:div>
    <w:div w:id="224070604">
      <w:bodyDiv w:val="1"/>
      <w:marLeft w:val="0"/>
      <w:marRight w:val="0"/>
      <w:marTop w:val="0"/>
      <w:marBottom w:val="0"/>
      <w:divBdr>
        <w:top w:val="none" w:sz="0" w:space="0" w:color="auto"/>
        <w:left w:val="none" w:sz="0" w:space="0" w:color="auto"/>
        <w:bottom w:val="none" w:sz="0" w:space="0" w:color="auto"/>
        <w:right w:val="none" w:sz="0" w:space="0" w:color="auto"/>
      </w:divBdr>
    </w:div>
    <w:div w:id="236675312">
      <w:bodyDiv w:val="1"/>
      <w:marLeft w:val="0"/>
      <w:marRight w:val="0"/>
      <w:marTop w:val="0"/>
      <w:marBottom w:val="0"/>
      <w:divBdr>
        <w:top w:val="none" w:sz="0" w:space="0" w:color="auto"/>
        <w:left w:val="none" w:sz="0" w:space="0" w:color="auto"/>
        <w:bottom w:val="none" w:sz="0" w:space="0" w:color="auto"/>
        <w:right w:val="none" w:sz="0" w:space="0" w:color="auto"/>
      </w:divBdr>
    </w:div>
    <w:div w:id="237640466">
      <w:bodyDiv w:val="1"/>
      <w:marLeft w:val="0"/>
      <w:marRight w:val="0"/>
      <w:marTop w:val="0"/>
      <w:marBottom w:val="0"/>
      <w:divBdr>
        <w:top w:val="none" w:sz="0" w:space="0" w:color="auto"/>
        <w:left w:val="none" w:sz="0" w:space="0" w:color="auto"/>
        <w:bottom w:val="none" w:sz="0" w:space="0" w:color="auto"/>
        <w:right w:val="none" w:sz="0" w:space="0" w:color="auto"/>
      </w:divBdr>
    </w:div>
    <w:div w:id="246547632">
      <w:bodyDiv w:val="1"/>
      <w:marLeft w:val="0"/>
      <w:marRight w:val="0"/>
      <w:marTop w:val="0"/>
      <w:marBottom w:val="0"/>
      <w:divBdr>
        <w:top w:val="none" w:sz="0" w:space="0" w:color="auto"/>
        <w:left w:val="none" w:sz="0" w:space="0" w:color="auto"/>
        <w:bottom w:val="none" w:sz="0" w:space="0" w:color="auto"/>
        <w:right w:val="none" w:sz="0" w:space="0" w:color="auto"/>
      </w:divBdr>
    </w:div>
    <w:div w:id="258562498">
      <w:bodyDiv w:val="1"/>
      <w:marLeft w:val="0"/>
      <w:marRight w:val="0"/>
      <w:marTop w:val="0"/>
      <w:marBottom w:val="0"/>
      <w:divBdr>
        <w:top w:val="none" w:sz="0" w:space="0" w:color="auto"/>
        <w:left w:val="none" w:sz="0" w:space="0" w:color="auto"/>
        <w:bottom w:val="none" w:sz="0" w:space="0" w:color="auto"/>
        <w:right w:val="none" w:sz="0" w:space="0" w:color="auto"/>
      </w:divBdr>
    </w:div>
    <w:div w:id="264656716">
      <w:bodyDiv w:val="1"/>
      <w:marLeft w:val="0"/>
      <w:marRight w:val="0"/>
      <w:marTop w:val="0"/>
      <w:marBottom w:val="0"/>
      <w:divBdr>
        <w:top w:val="none" w:sz="0" w:space="0" w:color="auto"/>
        <w:left w:val="none" w:sz="0" w:space="0" w:color="auto"/>
        <w:bottom w:val="none" w:sz="0" w:space="0" w:color="auto"/>
        <w:right w:val="none" w:sz="0" w:space="0" w:color="auto"/>
      </w:divBdr>
    </w:div>
    <w:div w:id="275332187">
      <w:bodyDiv w:val="1"/>
      <w:marLeft w:val="0"/>
      <w:marRight w:val="0"/>
      <w:marTop w:val="0"/>
      <w:marBottom w:val="0"/>
      <w:divBdr>
        <w:top w:val="none" w:sz="0" w:space="0" w:color="auto"/>
        <w:left w:val="none" w:sz="0" w:space="0" w:color="auto"/>
        <w:bottom w:val="none" w:sz="0" w:space="0" w:color="auto"/>
        <w:right w:val="none" w:sz="0" w:space="0" w:color="auto"/>
      </w:divBdr>
    </w:div>
    <w:div w:id="320353108">
      <w:bodyDiv w:val="1"/>
      <w:marLeft w:val="0"/>
      <w:marRight w:val="0"/>
      <w:marTop w:val="0"/>
      <w:marBottom w:val="0"/>
      <w:divBdr>
        <w:top w:val="none" w:sz="0" w:space="0" w:color="auto"/>
        <w:left w:val="none" w:sz="0" w:space="0" w:color="auto"/>
        <w:bottom w:val="none" w:sz="0" w:space="0" w:color="auto"/>
        <w:right w:val="none" w:sz="0" w:space="0" w:color="auto"/>
      </w:divBdr>
    </w:div>
    <w:div w:id="358051666">
      <w:bodyDiv w:val="1"/>
      <w:marLeft w:val="0"/>
      <w:marRight w:val="0"/>
      <w:marTop w:val="0"/>
      <w:marBottom w:val="0"/>
      <w:divBdr>
        <w:top w:val="none" w:sz="0" w:space="0" w:color="auto"/>
        <w:left w:val="none" w:sz="0" w:space="0" w:color="auto"/>
        <w:bottom w:val="none" w:sz="0" w:space="0" w:color="auto"/>
        <w:right w:val="none" w:sz="0" w:space="0" w:color="auto"/>
      </w:divBdr>
    </w:div>
    <w:div w:id="365525247">
      <w:bodyDiv w:val="1"/>
      <w:marLeft w:val="0"/>
      <w:marRight w:val="0"/>
      <w:marTop w:val="0"/>
      <w:marBottom w:val="0"/>
      <w:divBdr>
        <w:top w:val="none" w:sz="0" w:space="0" w:color="auto"/>
        <w:left w:val="none" w:sz="0" w:space="0" w:color="auto"/>
        <w:bottom w:val="none" w:sz="0" w:space="0" w:color="auto"/>
        <w:right w:val="none" w:sz="0" w:space="0" w:color="auto"/>
      </w:divBdr>
    </w:div>
    <w:div w:id="378628286">
      <w:bodyDiv w:val="1"/>
      <w:marLeft w:val="0"/>
      <w:marRight w:val="0"/>
      <w:marTop w:val="0"/>
      <w:marBottom w:val="0"/>
      <w:divBdr>
        <w:top w:val="none" w:sz="0" w:space="0" w:color="auto"/>
        <w:left w:val="none" w:sz="0" w:space="0" w:color="auto"/>
        <w:bottom w:val="none" w:sz="0" w:space="0" w:color="auto"/>
        <w:right w:val="none" w:sz="0" w:space="0" w:color="auto"/>
      </w:divBdr>
    </w:div>
    <w:div w:id="388921881">
      <w:bodyDiv w:val="1"/>
      <w:marLeft w:val="0"/>
      <w:marRight w:val="0"/>
      <w:marTop w:val="0"/>
      <w:marBottom w:val="0"/>
      <w:divBdr>
        <w:top w:val="none" w:sz="0" w:space="0" w:color="auto"/>
        <w:left w:val="none" w:sz="0" w:space="0" w:color="auto"/>
        <w:bottom w:val="none" w:sz="0" w:space="0" w:color="auto"/>
        <w:right w:val="none" w:sz="0" w:space="0" w:color="auto"/>
      </w:divBdr>
    </w:div>
    <w:div w:id="392123011">
      <w:bodyDiv w:val="1"/>
      <w:marLeft w:val="0"/>
      <w:marRight w:val="0"/>
      <w:marTop w:val="0"/>
      <w:marBottom w:val="0"/>
      <w:divBdr>
        <w:top w:val="none" w:sz="0" w:space="0" w:color="auto"/>
        <w:left w:val="none" w:sz="0" w:space="0" w:color="auto"/>
        <w:bottom w:val="none" w:sz="0" w:space="0" w:color="auto"/>
        <w:right w:val="none" w:sz="0" w:space="0" w:color="auto"/>
      </w:divBdr>
    </w:div>
    <w:div w:id="401104143">
      <w:bodyDiv w:val="1"/>
      <w:marLeft w:val="0"/>
      <w:marRight w:val="0"/>
      <w:marTop w:val="0"/>
      <w:marBottom w:val="0"/>
      <w:divBdr>
        <w:top w:val="none" w:sz="0" w:space="0" w:color="auto"/>
        <w:left w:val="none" w:sz="0" w:space="0" w:color="auto"/>
        <w:bottom w:val="none" w:sz="0" w:space="0" w:color="auto"/>
        <w:right w:val="none" w:sz="0" w:space="0" w:color="auto"/>
      </w:divBdr>
    </w:div>
    <w:div w:id="436215786">
      <w:bodyDiv w:val="1"/>
      <w:marLeft w:val="0"/>
      <w:marRight w:val="0"/>
      <w:marTop w:val="0"/>
      <w:marBottom w:val="0"/>
      <w:divBdr>
        <w:top w:val="none" w:sz="0" w:space="0" w:color="auto"/>
        <w:left w:val="none" w:sz="0" w:space="0" w:color="auto"/>
        <w:bottom w:val="none" w:sz="0" w:space="0" w:color="auto"/>
        <w:right w:val="none" w:sz="0" w:space="0" w:color="auto"/>
      </w:divBdr>
    </w:div>
    <w:div w:id="502477753">
      <w:bodyDiv w:val="1"/>
      <w:marLeft w:val="0"/>
      <w:marRight w:val="0"/>
      <w:marTop w:val="0"/>
      <w:marBottom w:val="0"/>
      <w:divBdr>
        <w:top w:val="none" w:sz="0" w:space="0" w:color="auto"/>
        <w:left w:val="none" w:sz="0" w:space="0" w:color="auto"/>
        <w:bottom w:val="none" w:sz="0" w:space="0" w:color="auto"/>
        <w:right w:val="none" w:sz="0" w:space="0" w:color="auto"/>
      </w:divBdr>
      <w:divsChild>
        <w:div w:id="98917517">
          <w:marLeft w:val="0"/>
          <w:marRight w:val="0"/>
          <w:marTop w:val="0"/>
          <w:marBottom w:val="0"/>
          <w:divBdr>
            <w:top w:val="none" w:sz="0" w:space="0" w:color="auto"/>
            <w:left w:val="none" w:sz="0" w:space="0" w:color="auto"/>
            <w:bottom w:val="none" w:sz="0" w:space="0" w:color="auto"/>
            <w:right w:val="none" w:sz="0" w:space="0" w:color="auto"/>
          </w:divBdr>
          <w:divsChild>
            <w:div w:id="140641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11614">
      <w:bodyDiv w:val="1"/>
      <w:marLeft w:val="0"/>
      <w:marRight w:val="0"/>
      <w:marTop w:val="0"/>
      <w:marBottom w:val="0"/>
      <w:divBdr>
        <w:top w:val="none" w:sz="0" w:space="0" w:color="auto"/>
        <w:left w:val="none" w:sz="0" w:space="0" w:color="auto"/>
        <w:bottom w:val="none" w:sz="0" w:space="0" w:color="auto"/>
        <w:right w:val="none" w:sz="0" w:space="0" w:color="auto"/>
      </w:divBdr>
      <w:divsChild>
        <w:div w:id="1206677586">
          <w:marLeft w:val="0"/>
          <w:marRight w:val="0"/>
          <w:marTop w:val="0"/>
          <w:marBottom w:val="0"/>
          <w:divBdr>
            <w:top w:val="none" w:sz="0" w:space="0" w:color="auto"/>
            <w:left w:val="none" w:sz="0" w:space="0" w:color="auto"/>
            <w:bottom w:val="none" w:sz="0" w:space="0" w:color="auto"/>
            <w:right w:val="none" w:sz="0" w:space="0" w:color="auto"/>
          </w:divBdr>
          <w:divsChild>
            <w:div w:id="104124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56297">
      <w:bodyDiv w:val="1"/>
      <w:marLeft w:val="0"/>
      <w:marRight w:val="0"/>
      <w:marTop w:val="0"/>
      <w:marBottom w:val="0"/>
      <w:divBdr>
        <w:top w:val="none" w:sz="0" w:space="0" w:color="auto"/>
        <w:left w:val="none" w:sz="0" w:space="0" w:color="auto"/>
        <w:bottom w:val="none" w:sz="0" w:space="0" w:color="auto"/>
        <w:right w:val="none" w:sz="0" w:space="0" w:color="auto"/>
      </w:divBdr>
    </w:div>
    <w:div w:id="551621743">
      <w:bodyDiv w:val="1"/>
      <w:marLeft w:val="0"/>
      <w:marRight w:val="0"/>
      <w:marTop w:val="0"/>
      <w:marBottom w:val="0"/>
      <w:divBdr>
        <w:top w:val="none" w:sz="0" w:space="0" w:color="auto"/>
        <w:left w:val="none" w:sz="0" w:space="0" w:color="auto"/>
        <w:bottom w:val="none" w:sz="0" w:space="0" w:color="auto"/>
        <w:right w:val="none" w:sz="0" w:space="0" w:color="auto"/>
      </w:divBdr>
    </w:div>
    <w:div w:id="577594168">
      <w:bodyDiv w:val="1"/>
      <w:marLeft w:val="0"/>
      <w:marRight w:val="0"/>
      <w:marTop w:val="0"/>
      <w:marBottom w:val="0"/>
      <w:divBdr>
        <w:top w:val="none" w:sz="0" w:space="0" w:color="auto"/>
        <w:left w:val="none" w:sz="0" w:space="0" w:color="auto"/>
        <w:bottom w:val="none" w:sz="0" w:space="0" w:color="auto"/>
        <w:right w:val="none" w:sz="0" w:space="0" w:color="auto"/>
      </w:divBdr>
    </w:div>
    <w:div w:id="589585630">
      <w:bodyDiv w:val="1"/>
      <w:marLeft w:val="0"/>
      <w:marRight w:val="0"/>
      <w:marTop w:val="0"/>
      <w:marBottom w:val="0"/>
      <w:divBdr>
        <w:top w:val="none" w:sz="0" w:space="0" w:color="auto"/>
        <w:left w:val="none" w:sz="0" w:space="0" w:color="auto"/>
        <w:bottom w:val="none" w:sz="0" w:space="0" w:color="auto"/>
        <w:right w:val="none" w:sz="0" w:space="0" w:color="auto"/>
      </w:divBdr>
      <w:divsChild>
        <w:div w:id="1615207667">
          <w:marLeft w:val="0"/>
          <w:marRight w:val="0"/>
          <w:marTop w:val="0"/>
          <w:marBottom w:val="0"/>
          <w:divBdr>
            <w:top w:val="none" w:sz="0" w:space="0" w:color="auto"/>
            <w:left w:val="none" w:sz="0" w:space="0" w:color="auto"/>
            <w:bottom w:val="none" w:sz="0" w:space="0" w:color="auto"/>
            <w:right w:val="none" w:sz="0" w:space="0" w:color="auto"/>
          </w:divBdr>
          <w:divsChild>
            <w:div w:id="212580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10297">
      <w:bodyDiv w:val="1"/>
      <w:marLeft w:val="0"/>
      <w:marRight w:val="0"/>
      <w:marTop w:val="0"/>
      <w:marBottom w:val="0"/>
      <w:divBdr>
        <w:top w:val="none" w:sz="0" w:space="0" w:color="auto"/>
        <w:left w:val="none" w:sz="0" w:space="0" w:color="auto"/>
        <w:bottom w:val="none" w:sz="0" w:space="0" w:color="auto"/>
        <w:right w:val="none" w:sz="0" w:space="0" w:color="auto"/>
      </w:divBdr>
    </w:div>
    <w:div w:id="659040401">
      <w:bodyDiv w:val="1"/>
      <w:marLeft w:val="0"/>
      <w:marRight w:val="0"/>
      <w:marTop w:val="0"/>
      <w:marBottom w:val="0"/>
      <w:divBdr>
        <w:top w:val="none" w:sz="0" w:space="0" w:color="auto"/>
        <w:left w:val="none" w:sz="0" w:space="0" w:color="auto"/>
        <w:bottom w:val="none" w:sz="0" w:space="0" w:color="auto"/>
        <w:right w:val="none" w:sz="0" w:space="0" w:color="auto"/>
      </w:divBdr>
      <w:divsChild>
        <w:div w:id="282663422">
          <w:marLeft w:val="0"/>
          <w:marRight w:val="0"/>
          <w:marTop w:val="0"/>
          <w:marBottom w:val="0"/>
          <w:divBdr>
            <w:top w:val="none" w:sz="0" w:space="0" w:color="auto"/>
            <w:left w:val="none" w:sz="0" w:space="0" w:color="auto"/>
            <w:bottom w:val="none" w:sz="0" w:space="0" w:color="auto"/>
            <w:right w:val="none" w:sz="0" w:space="0" w:color="auto"/>
          </w:divBdr>
          <w:divsChild>
            <w:div w:id="107677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86193">
      <w:bodyDiv w:val="1"/>
      <w:marLeft w:val="0"/>
      <w:marRight w:val="0"/>
      <w:marTop w:val="0"/>
      <w:marBottom w:val="0"/>
      <w:divBdr>
        <w:top w:val="none" w:sz="0" w:space="0" w:color="auto"/>
        <w:left w:val="none" w:sz="0" w:space="0" w:color="auto"/>
        <w:bottom w:val="none" w:sz="0" w:space="0" w:color="auto"/>
        <w:right w:val="none" w:sz="0" w:space="0" w:color="auto"/>
      </w:divBdr>
    </w:div>
    <w:div w:id="666520375">
      <w:bodyDiv w:val="1"/>
      <w:marLeft w:val="0"/>
      <w:marRight w:val="0"/>
      <w:marTop w:val="0"/>
      <w:marBottom w:val="0"/>
      <w:divBdr>
        <w:top w:val="none" w:sz="0" w:space="0" w:color="auto"/>
        <w:left w:val="none" w:sz="0" w:space="0" w:color="auto"/>
        <w:bottom w:val="none" w:sz="0" w:space="0" w:color="auto"/>
        <w:right w:val="none" w:sz="0" w:space="0" w:color="auto"/>
      </w:divBdr>
    </w:div>
    <w:div w:id="686254922">
      <w:bodyDiv w:val="1"/>
      <w:marLeft w:val="0"/>
      <w:marRight w:val="0"/>
      <w:marTop w:val="0"/>
      <w:marBottom w:val="0"/>
      <w:divBdr>
        <w:top w:val="none" w:sz="0" w:space="0" w:color="auto"/>
        <w:left w:val="none" w:sz="0" w:space="0" w:color="auto"/>
        <w:bottom w:val="none" w:sz="0" w:space="0" w:color="auto"/>
        <w:right w:val="none" w:sz="0" w:space="0" w:color="auto"/>
      </w:divBdr>
    </w:div>
    <w:div w:id="689526489">
      <w:bodyDiv w:val="1"/>
      <w:marLeft w:val="0"/>
      <w:marRight w:val="0"/>
      <w:marTop w:val="0"/>
      <w:marBottom w:val="0"/>
      <w:divBdr>
        <w:top w:val="none" w:sz="0" w:space="0" w:color="auto"/>
        <w:left w:val="none" w:sz="0" w:space="0" w:color="auto"/>
        <w:bottom w:val="none" w:sz="0" w:space="0" w:color="auto"/>
        <w:right w:val="none" w:sz="0" w:space="0" w:color="auto"/>
      </w:divBdr>
    </w:div>
    <w:div w:id="694041076">
      <w:bodyDiv w:val="1"/>
      <w:marLeft w:val="0"/>
      <w:marRight w:val="0"/>
      <w:marTop w:val="0"/>
      <w:marBottom w:val="0"/>
      <w:divBdr>
        <w:top w:val="none" w:sz="0" w:space="0" w:color="auto"/>
        <w:left w:val="none" w:sz="0" w:space="0" w:color="auto"/>
        <w:bottom w:val="none" w:sz="0" w:space="0" w:color="auto"/>
        <w:right w:val="none" w:sz="0" w:space="0" w:color="auto"/>
      </w:divBdr>
    </w:div>
    <w:div w:id="707340479">
      <w:bodyDiv w:val="1"/>
      <w:marLeft w:val="0"/>
      <w:marRight w:val="0"/>
      <w:marTop w:val="0"/>
      <w:marBottom w:val="0"/>
      <w:divBdr>
        <w:top w:val="none" w:sz="0" w:space="0" w:color="auto"/>
        <w:left w:val="none" w:sz="0" w:space="0" w:color="auto"/>
        <w:bottom w:val="none" w:sz="0" w:space="0" w:color="auto"/>
        <w:right w:val="none" w:sz="0" w:space="0" w:color="auto"/>
      </w:divBdr>
    </w:div>
    <w:div w:id="717121740">
      <w:bodyDiv w:val="1"/>
      <w:marLeft w:val="0"/>
      <w:marRight w:val="0"/>
      <w:marTop w:val="0"/>
      <w:marBottom w:val="0"/>
      <w:divBdr>
        <w:top w:val="none" w:sz="0" w:space="0" w:color="auto"/>
        <w:left w:val="none" w:sz="0" w:space="0" w:color="auto"/>
        <w:bottom w:val="none" w:sz="0" w:space="0" w:color="auto"/>
        <w:right w:val="none" w:sz="0" w:space="0" w:color="auto"/>
      </w:divBdr>
    </w:div>
    <w:div w:id="745760012">
      <w:bodyDiv w:val="1"/>
      <w:marLeft w:val="0"/>
      <w:marRight w:val="0"/>
      <w:marTop w:val="0"/>
      <w:marBottom w:val="0"/>
      <w:divBdr>
        <w:top w:val="none" w:sz="0" w:space="0" w:color="auto"/>
        <w:left w:val="none" w:sz="0" w:space="0" w:color="auto"/>
        <w:bottom w:val="none" w:sz="0" w:space="0" w:color="auto"/>
        <w:right w:val="none" w:sz="0" w:space="0" w:color="auto"/>
      </w:divBdr>
    </w:div>
    <w:div w:id="764569659">
      <w:bodyDiv w:val="1"/>
      <w:marLeft w:val="0"/>
      <w:marRight w:val="0"/>
      <w:marTop w:val="0"/>
      <w:marBottom w:val="0"/>
      <w:divBdr>
        <w:top w:val="none" w:sz="0" w:space="0" w:color="auto"/>
        <w:left w:val="none" w:sz="0" w:space="0" w:color="auto"/>
        <w:bottom w:val="none" w:sz="0" w:space="0" w:color="auto"/>
        <w:right w:val="none" w:sz="0" w:space="0" w:color="auto"/>
      </w:divBdr>
    </w:div>
    <w:div w:id="792939608">
      <w:bodyDiv w:val="1"/>
      <w:marLeft w:val="0"/>
      <w:marRight w:val="0"/>
      <w:marTop w:val="0"/>
      <w:marBottom w:val="0"/>
      <w:divBdr>
        <w:top w:val="none" w:sz="0" w:space="0" w:color="auto"/>
        <w:left w:val="none" w:sz="0" w:space="0" w:color="auto"/>
        <w:bottom w:val="none" w:sz="0" w:space="0" w:color="auto"/>
        <w:right w:val="none" w:sz="0" w:space="0" w:color="auto"/>
      </w:divBdr>
      <w:divsChild>
        <w:div w:id="190846722">
          <w:marLeft w:val="0"/>
          <w:marRight w:val="0"/>
          <w:marTop w:val="0"/>
          <w:marBottom w:val="0"/>
          <w:divBdr>
            <w:top w:val="none" w:sz="0" w:space="0" w:color="auto"/>
            <w:left w:val="none" w:sz="0" w:space="0" w:color="auto"/>
            <w:bottom w:val="none" w:sz="0" w:space="0" w:color="auto"/>
            <w:right w:val="none" w:sz="0" w:space="0" w:color="auto"/>
          </w:divBdr>
          <w:divsChild>
            <w:div w:id="125111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46065">
      <w:bodyDiv w:val="1"/>
      <w:marLeft w:val="0"/>
      <w:marRight w:val="0"/>
      <w:marTop w:val="0"/>
      <w:marBottom w:val="0"/>
      <w:divBdr>
        <w:top w:val="none" w:sz="0" w:space="0" w:color="auto"/>
        <w:left w:val="none" w:sz="0" w:space="0" w:color="auto"/>
        <w:bottom w:val="none" w:sz="0" w:space="0" w:color="auto"/>
        <w:right w:val="none" w:sz="0" w:space="0" w:color="auto"/>
      </w:divBdr>
    </w:div>
    <w:div w:id="814758629">
      <w:bodyDiv w:val="1"/>
      <w:marLeft w:val="0"/>
      <w:marRight w:val="0"/>
      <w:marTop w:val="0"/>
      <w:marBottom w:val="0"/>
      <w:divBdr>
        <w:top w:val="none" w:sz="0" w:space="0" w:color="auto"/>
        <w:left w:val="none" w:sz="0" w:space="0" w:color="auto"/>
        <w:bottom w:val="none" w:sz="0" w:space="0" w:color="auto"/>
        <w:right w:val="none" w:sz="0" w:space="0" w:color="auto"/>
      </w:divBdr>
    </w:div>
    <w:div w:id="830751453">
      <w:bodyDiv w:val="1"/>
      <w:marLeft w:val="0"/>
      <w:marRight w:val="0"/>
      <w:marTop w:val="0"/>
      <w:marBottom w:val="0"/>
      <w:divBdr>
        <w:top w:val="none" w:sz="0" w:space="0" w:color="auto"/>
        <w:left w:val="none" w:sz="0" w:space="0" w:color="auto"/>
        <w:bottom w:val="none" w:sz="0" w:space="0" w:color="auto"/>
        <w:right w:val="none" w:sz="0" w:space="0" w:color="auto"/>
      </w:divBdr>
    </w:div>
    <w:div w:id="912353560">
      <w:bodyDiv w:val="1"/>
      <w:marLeft w:val="0"/>
      <w:marRight w:val="0"/>
      <w:marTop w:val="0"/>
      <w:marBottom w:val="0"/>
      <w:divBdr>
        <w:top w:val="none" w:sz="0" w:space="0" w:color="auto"/>
        <w:left w:val="none" w:sz="0" w:space="0" w:color="auto"/>
        <w:bottom w:val="none" w:sz="0" w:space="0" w:color="auto"/>
        <w:right w:val="none" w:sz="0" w:space="0" w:color="auto"/>
      </w:divBdr>
    </w:div>
    <w:div w:id="924337459">
      <w:bodyDiv w:val="1"/>
      <w:marLeft w:val="0"/>
      <w:marRight w:val="0"/>
      <w:marTop w:val="0"/>
      <w:marBottom w:val="0"/>
      <w:divBdr>
        <w:top w:val="none" w:sz="0" w:space="0" w:color="auto"/>
        <w:left w:val="none" w:sz="0" w:space="0" w:color="auto"/>
        <w:bottom w:val="none" w:sz="0" w:space="0" w:color="auto"/>
        <w:right w:val="none" w:sz="0" w:space="0" w:color="auto"/>
      </w:divBdr>
      <w:divsChild>
        <w:div w:id="227112446">
          <w:marLeft w:val="0"/>
          <w:marRight w:val="0"/>
          <w:marTop w:val="0"/>
          <w:marBottom w:val="0"/>
          <w:divBdr>
            <w:top w:val="none" w:sz="0" w:space="0" w:color="auto"/>
            <w:left w:val="none" w:sz="0" w:space="0" w:color="auto"/>
            <w:bottom w:val="none" w:sz="0" w:space="0" w:color="auto"/>
            <w:right w:val="none" w:sz="0" w:space="0" w:color="auto"/>
          </w:divBdr>
          <w:divsChild>
            <w:div w:id="1928341066">
              <w:marLeft w:val="0"/>
              <w:marRight w:val="0"/>
              <w:marTop w:val="0"/>
              <w:marBottom w:val="0"/>
              <w:divBdr>
                <w:top w:val="none" w:sz="0" w:space="0" w:color="auto"/>
                <w:left w:val="none" w:sz="0" w:space="0" w:color="auto"/>
                <w:bottom w:val="none" w:sz="0" w:space="0" w:color="auto"/>
                <w:right w:val="none" w:sz="0" w:space="0" w:color="auto"/>
              </w:divBdr>
            </w:div>
            <w:div w:id="20720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51177">
      <w:bodyDiv w:val="1"/>
      <w:marLeft w:val="0"/>
      <w:marRight w:val="0"/>
      <w:marTop w:val="0"/>
      <w:marBottom w:val="0"/>
      <w:divBdr>
        <w:top w:val="none" w:sz="0" w:space="0" w:color="auto"/>
        <w:left w:val="none" w:sz="0" w:space="0" w:color="auto"/>
        <w:bottom w:val="none" w:sz="0" w:space="0" w:color="auto"/>
        <w:right w:val="none" w:sz="0" w:space="0" w:color="auto"/>
      </w:divBdr>
    </w:div>
    <w:div w:id="944923507">
      <w:bodyDiv w:val="1"/>
      <w:marLeft w:val="0"/>
      <w:marRight w:val="0"/>
      <w:marTop w:val="0"/>
      <w:marBottom w:val="0"/>
      <w:divBdr>
        <w:top w:val="none" w:sz="0" w:space="0" w:color="auto"/>
        <w:left w:val="none" w:sz="0" w:space="0" w:color="auto"/>
        <w:bottom w:val="none" w:sz="0" w:space="0" w:color="auto"/>
        <w:right w:val="none" w:sz="0" w:space="0" w:color="auto"/>
      </w:divBdr>
    </w:div>
    <w:div w:id="968628927">
      <w:bodyDiv w:val="1"/>
      <w:marLeft w:val="0"/>
      <w:marRight w:val="0"/>
      <w:marTop w:val="0"/>
      <w:marBottom w:val="0"/>
      <w:divBdr>
        <w:top w:val="none" w:sz="0" w:space="0" w:color="auto"/>
        <w:left w:val="none" w:sz="0" w:space="0" w:color="auto"/>
        <w:bottom w:val="none" w:sz="0" w:space="0" w:color="auto"/>
        <w:right w:val="none" w:sz="0" w:space="0" w:color="auto"/>
      </w:divBdr>
      <w:divsChild>
        <w:div w:id="1801416633">
          <w:marLeft w:val="0"/>
          <w:marRight w:val="0"/>
          <w:marTop w:val="0"/>
          <w:marBottom w:val="0"/>
          <w:divBdr>
            <w:top w:val="none" w:sz="0" w:space="0" w:color="auto"/>
            <w:left w:val="none" w:sz="0" w:space="0" w:color="auto"/>
            <w:bottom w:val="none" w:sz="0" w:space="0" w:color="auto"/>
            <w:right w:val="none" w:sz="0" w:space="0" w:color="auto"/>
          </w:divBdr>
          <w:divsChild>
            <w:div w:id="128715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06739">
      <w:bodyDiv w:val="1"/>
      <w:marLeft w:val="0"/>
      <w:marRight w:val="0"/>
      <w:marTop w:val="0"/>
      <w:marBottom w:val="0"/>
      <w:divBdr>
        <w:top w:val="none" w:sz="0" w:space="0" w:color="auto"/>
        <w:left w:val="none" w:sz="0" w:space="0" w:color="auto"/>
        <w:bottom w:val="none" w:sz="0" w:space="0" w:color="auto"/>
        <w:right w:val="none" w:sz="0" w:space="0" w:color="auto"/>
      </w:divBdr>
    </w:div>
    <w:div w:id="1033266718">
      <w:bodyDiv w:val="1"/>
      <w:marLeft w:val="0"/>
      <w:marRight w:val="0"/>
      <w:marTop w:val="0"/>
      <w:marBottom w:val="0"/>
      <w:divBdr>
        <w:top w:val="none" w:sz="0" w:space="0" w:color="auto"/>
        <w:left w:val="none" w:sz="0" w:space="0" w:color="auto"/>
        <w:bottom w:val="none" w:sz="0" w:space="0" w:color="auto"/>
        <w:right w:val="none" w:sz="0" w:space="0" w:color="auto"/>
      </w:divBdr>
      <w:divsChild>
        <w:div w:id="401028421">
          <w:marLeft w:val="0"/>
          <w:marRight w:val="0"/>
          <w:marTop w:val="0"/>
          <w:marBottom w:val="0"/>
          <w:divBdr>
            <w:top w:val="none" w:sz="0" w:space="0" w:color="auto"/>
            <w:left w:val="none" w:sz="0" w:space="0" w:color="auto"/>
            <w:bottom w:val="none" w:sz="0" w:space="0" w:color="auto"/>
            <w:right w:val="none" w:sz="0" w:space="0" w:color="auto"/>
          </w:divBdr>
          <w:divsChild>
            <w:div w:id="8795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7476">
      <w:bodyDiv w:val="1"/>
      <w:marLeft w:val="0"/>
      <w:marRight w:val="0"/>
      <w:marTop w:val="0"/>
      <w:marBottom w:val="0"/>
      <w:divBdr>
        <w:top w:val="none" w:sz="0" w:space="0" w:color="auto"/>
        <w:left w:val="none" w:sz="0" w:space="0" w:color="auto"/>
        <w:bottom w:val="none" w:sz="0" w:space="0" w:color="auto"/>
        <w:right w:val="none" w:sz="0" w:space="0" w:color="auto"/>
      </w:divBdr>
    </w:div>
    <w:div w:id="1098333706">
      <w:bodyDiv w:val="1"/>
      <w:marLeft w:val="0"/>
      <w:marRight w:val="0"/>
      <w:marTop w:val="0"/>
      <w:marBottom w:val="0"/>
      <w:divBdr>
        <w:top w:val="none" w:sz="0" w:space="0" w:color="auto"/>
        <w:left w:val="none" w:sz="0" w:space="0" w:color="auto"/>
        <w:bottom w:val="none" w:sz="0" w:space="0" w:color="auto"/>
        <w:right w:val="none" w:sz="0" w:space="0" w:color="auto"/>
      </w:divBdr>
      <w:divsChild>
        <w:div w:id="1047028624">
          <w:marLeft w:val="0"/>
          <w:marRight w:val="0"/>
          <w:marTop w:val="0"/>
          <w:marBottom w:val="0"/>
          <w:divBdr>
            <w:top w:val="none" w:sz="0" w:space="0" w:color="auto"/>
            <w:left w:val="none" w:sz="0" w:space="0" w:color="auto"/>
            <w:bottom w:val="none" w:sz="0" w:space="0" w:color="auto"/>
            <w:right w:val="none" w:sz="0" w:space="0" w:color="auto"/>
          </w:divBdr>
          <w:divsChild>
            <w:div w:id="25270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43704">
      <w:bodyDiv w:val="1"/>
      <w:marLeft w:val="0"/>
      <w:marRight w:val="0"/>
      <w:marTop w:val="0"/>
      <w:marBottom w:val="0"/>
      <w:divBdr>
        <w:top w:val="none" w:sz="0" w:space="0" w:color="auto"/>
        <w:left w:val="none" w:sz="0" w:space="0" w:color="auto"/>
        <w:bottom w:val="none" w:sz="0" w:space="0" w:color="auto"/>
        <w:right w:val="none" w:sz="0" w:space="0" w:color="auto"/>
      </w:divBdr>
      <w:divsChild>
        <w:div w:id="384836539">
          <w:marLeft w:val="0"/>
          <w:marRight w:val="0"/>
          <w:marTop w:val="0"/>
          <w:marBottom w:val="0"/>
          <w:divBdr>
            <w:top w:val="none" w:sz="0" w:space="0" w:color="auto"/>
            <w:left w:val="none" w:sz="0" w:space="0" w:color="auto"/>
            <w:bottom w:val="none" w:sz="0" w:space="0" w:color="auto"/>
            <w:right w:val="none" w:sz="0" w:space="0" w:color="auto"/>
          </w:divBdr>
          <w:divsChild>
            <w:div w:id="532230799">
              <w:marLeft w:val="0"/>
              <w:marRight w:val="0"/>
              <w:marTop w:val="0"/>
              <w:marBottom w:val="0"/>
              <w:divBdr>
                <w:top w:val="none" w:sz="0" w:space="0" w:color="auto"/>
                <w:left w:val="none" w:sz="0" w:space="0" w:color="auto"/>
                <w:bottom w:val="none" w:sz="0" w:space="0" w:color="auto"/>
                <w:right w:val="none" w:sz="0" w:space="0" w:color="auto"/>
              </w:divBdr>
            </w:div>
            <w:div w:id="10188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46659">
      <w:bodyDiv w:val="1"/>
      <w:marLeft w:val="0"/>
      <w:marRight w:val="0"/>
      <w:marTop w:val="0"/>
      <w:marBottom w:val="0"/>
      <w:divBdr>
        <w:top w:val="none" w:sz="0" w:space="0" w:color="auto"/>
        <w:left w:val="none" w:sz="0" w:space="0" w:color="auto"/>
        <w:bottom w:val="none" w:sz="0" w:space="0" w:color="auto"/>
        <w:right w:val="none" w:sz="0" w:space="0" w:color="auto"/>
      </w:divBdr>
    </w:div>
    <w:div w:id="1116559068">
      <w:bodyDiv w:val="1"/>
      <w:marLeft w:val="0"/>
      <w:marRight w:val="0"/>
      <w:marTop w:val="0"/>
      <w:marBottom w:val="0"/>
      <w:divBdr>
        <w:top w:val="none" w:sz="0" w:space="0" w:color="auto"/>
        <w:left w:val="none" w:sz="0" w:space="0" w:color="auto"/>
        <w:bottom w:val="none" w:sz="0" w:space="0" w:color="auto"/>
        <w:right w:val="none" w:sz="0" w:space="0" w:color="auto"/>
      </w:divBdr>
    </w:div>
    <w:div w:id="1120298407">
      <w:bodyDiv w:val="1"/>
      <w:marLeft w:val="0"/>
      <w:marRight w:val="0"/>
      <w:marTop w:val="0"/>
      <w:marBottom w:val="0"/>
      <w:divBdr>
        <w:top w:val="none" w:sz="0" w:space="0" w:color="auto"/>
        <w:left w:val="none" w:sz="0" w:space="0" w:color="auto"/>
        <w:bottom w:val="none" w:sz="0" w:space="0" w:color="auto"/>
        <w:right w:val="none" w:sz="0" w:space="0" w:color="auto"/>
      </w:divBdr>
    </w:div>
    <w:div w:id="1163621814">
      <w:bodyDiv w:val="1"/>
      <w:marLeft w:val="0"/>
      <w:marRight w:val="0"/>
      <w:marTop w:val="0"/>
      <w:marBottom w:val="0"/>
      <w:divBdr>
        <w:top w:val="none" w:sz="0" w:space="0" w:color="auto"/>
        <w:left w:val="none" w:sz="0" w:space="0" w:color="auto"/>
        <w:bottom w:val="none" w:sz="0" w:space="0" w:color="auto"/>
        <w:right w:val="none" w:sz="0" w:space="0" w:color="auto"/>
      </w:divBdr>
    </w:div>
    <w:div w:id="1190219382">
      <w:bodyDiv w:val="1"/>
      <w:marLeft w:val="0"/>
      <w:marRight w:val="0"/>
      <w:marTop w:val="0"/>
      <w:marBottom w:val="0"/>
      <w:divBdr>
        <w:top w:val="none" w:sz="0" w:space="0" w:color="auto"/>
        <w:left w:val="none" w:sz="0" w:space="0" w:color="auto"/>
        <w:bottom w:val="none" w:sz="0" w:space="0" w:color="auto"/>
        <w:right w:val="none" w:sz="0" w:space="0" w:color="auto"/>
      </w:divBdr>
    </w:div>
    <w:div w:id="1230312821">
      <w:bodyDiv w:val="1"/>
      <w:marLeft w:val="0"/>
      <w:marRight w:val="0"/>
      <w:marTop w:val="0"/>
      <w:marBottom w:val="0"/>
      <w:divBdr>
        <w:top w:val="none" w:sz="0" w:space="0" w:color="auto"/>
        <w:left w:val="none" w:sz="0" w:space="0" w:color="auto"/>
        <w:bottom w:val="none" w:sz="0" w:space="0" w:color="auto"/>
        <w:right w:val="none" w:sz="0" w:space="0" w:color="auto"/>
      </w:divBdr>
    </w:div>
    <w:div w:id="1239748524">
      <w:bodyDiv w:val="1"/>
      <w:marLeft w:val="0"/>
      <w:marRight w:val="0"/>
      <w:marTop w:val="0"/>
      <w:marBottom w:val="0"/>
      <w:divBdr>
        <w:top w:val="none" w:sz="0" w:space="0" w:color="auto"/>
        <w:left w:val="none" w:sz="0" w:space="0" w:color="auto"/>
        <w:bottom w:val="none" w:sz="0" w:space="0" w:color="auto"/>
        <w:right w:val="none" w:sz="0" w:space="0" w:color="auto"/>
      </w:divBdr>
    </w:div>
    <w:div w:id="1244875811">
      <w:bodyDiv w:val="1"/>
      <w:marLeft w:val="0"/>
      <w:marRight w:val="0"/>
      <w:marTop w:val="0"/>
      <w:marBottom w:val="0"/>
      <w:divBdr>
        <w:top w:val="none" w:sz="0" w:space="0" w:color="auto"/>
        <w:left w:val="none" w:sz="0" w:space="0" w:color="auto"/>
        <w:bottom w:val="none" w:sz="0" w:space="0" w:color="auto"/>
        <w:right w:val="none" w:sz="0" w:space="0" w:color="auto"/>
      </w:divBdr>
    </w:div>
    <w:div w:id="1260721000">
      <w:bodyDiv w:val="1"/>
      <w:marLeft w:val="0"/>
      <w:marRight w:val="0"/>
      <w:marTop w:val="0"/>
      <w:marBottom w:val="0"/>
      <w:divBdr>
        <w:top w:val="none" w:sz="0" w:space="0" w:color="auto"/>
        <w:left w:val="none" w:sz="0" w:space="0" w:color="auto"/>
        <w:bottom w:val="none" w:sz="0" w:space="0" w:color="auto"/>
        <w:right w:val="none" w:sz="0" w:space="0" w:color="auto"/>
      </w:divBdr>
    </w:div>
    <w:div w:id="1280070233">
      <w:bodyDiv w:val="1"/>
      <w:marLeft w:val="0"/>
      <w:marRight w:val="0"/>
      <w:marTop w:val="0"/>
      <w:marBottom w:val="0"/>
      <w:divBdr>
        <w:top w:val="none" w:sz="0" w:space="0" w:color="auto"/>
        <w:left w:val="none" w:sz="0" w:space="0" w:color="auto"/>
        <w:bottom w:val="none" w:sz="0" w:space="0" w:color="auto"/>
        <w:right w:val="none" w:sz="0" w:space="0" w:color="auto"/>
      </w:divBdr>
      <w:divsChild>
        <w:div w:id="1817456632">
          <w:marLeft w:val="0"/>
          <w:marRight w:val="0"/>
          <w:marTop w:val="0"/>
          <w:marBottom w:val="0"/>
          <w:divBdr>
            <w:top w:val="none" w:sz="0" w:space="0" w:color="auto"/>
            <w:left w:val="none" w:sz="0" w:space="0" w:color="auto"/>
            <w:bottom w:val="none" w:sz="0" w:space="0" w:color="auto"/>
            <w:right w:val="none" w:sz="0" w:space="0" w:color="auto"/>
          </w:divBdr>
          <w:divsChild>
            <w:div w:id="86968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2483">
      <w:bodyDiv w:val="1"/>
      <w:marLeft w:val="0"/>
      <w:marRight w:val="0"/>
      <w:marTop w:val="0"/>
      <w:marBottom w:val="0"/>
      <w:divBdr>
        <w:top w:val="none" w:sz="0" w:space="0" w:color="auto"/>
        <w:left w:val="none" w:sz="0" w:space="0" w:color="auto"/>
        <w:bottom w:val="none" w:sz="0" w:space="0" w:color="auto"/>
        <w:right w:val="none" w:sz="0" w:space="0" w:color="auto"/>
      </w:divBdr>
    </w:div>
    <w:div w:id="1290866864">
      <w:bodyDiv w:val="1"/>
      <w:marLeft w:val="0"/>
      <w:marRight w:val="0"/>
      <w:marTop w:val="0"/>
      <w:marBottom w:val="0"/>
      <w:divBdr>
        <w:top w:val="none" w:sz="0" w:space="0" w:color="auto"/>
        <w:left w:val="none" w:sz="0" w:space="0" w:color="auto"/>
        <w:bottom w:val="none" w:sz="0" w:space="0" w:color="auto"/>
        <w:right w:val="none" w:sz="0" w:space="0" w:color="auto"/>
      </w:divBdr>
    </w:div>
    <w:div w:id="1292051561">
      <w:bodyDiv w:val="1"/>
      <w:marLeft w:val="0"/>
      <w:marRight w:val="0"/>
      <w:marTop w:val="0"/>
      <w:marBottom w:val="0"/>
      <w:divBdr>
        <w:top w:val="none" w:sz="0" w:space="0" w:color="auto"/>
        <w:left w:val="none" w:sz="0" w:space="0" w:color="auto"/>
        <w:bottom w:val="none" w:sz="0" w:space="0" w:color="auto"/>
        <w:right w:val="none" w:sz="0" w:space="0" w:color="auto"/>
      </w:divBdr>
    </w:div>
    <w:div w:id="1299916874">
      <w:bodyDiv w:val="1"/>
      <w:marLeft w:val="0"/>
      <w:marRight w:val="0"/>
      <w:marTop w:val="0"/>
      <w:marBottom w:val="0"/>
      <w:divBdr>
        <w:top w:val="none" w:sz="0" w:space="0" w:color="auto"/>
        <w:left w:val="none" w:sz="0" w:space="0" w:color="auto"/>
        <w:bottom w:val="none" w:sz="0" w:space="0" w:color="auto"/>
        <w:right w:val="none" w:sz="0" w:space="0" w:color="auto"/>
      </w:divBdr>
      <w:divsChild>
        <w:div w:id="949120093">
          <w:marLeft w:val="0"/>
          <w:marRight w:val="0"/>
          <w:marTop w:val="0"/>
          <w:marBottom w:val="0"/>
          <w:divBdr>
            <w:top w:val="none" w:sz="0" w:space="0" w:color="auto"/>
            <w:left w:val="none" w:sz="0" w:space="0" w:color="auto"/>
            <w:bottom w:val="none" w:sz="0" w:space="0" w:color="auto"/>
            <w:right w:val="none" w:sz="0" w:space="0" w:color="auto"/>
          </w:divBdr>
          <w:divsChild>
            <w:div w:id="149923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17795">
      <w:bodyDiv w:val="1"/>
      <w:marLeft w:val="0"/>
      <w:marRight w:val="0"/>
      <w:marTop w:val="0"/>
      <w:marBottom w:val="0"/>
      <w:divBdr>
        <w:top w:val="none" w:sz="0" w:space="0" w:color="auto"/>
        <w:left w:val="none" w:sz="0" w:space="0" w:color="auto"/>
        <w:bottom w:val="none" w:sz="0" w:space="0" w:color="auto"/>
        <w:right w:val="none" w:sz="0" w:space="0" w:color="auto"/>
      </w:divBdr>
    </w:div>
    <w:div w:id="1318191446">
      <w:bodyDiv w:val="1"/>
      <w:marLeft w:val="0"/>
      <w:marRight w:val="0"/>
      <w:marTop w:val="0"/>
      <w:marBottom w:val="0"/>
      <w:divBdr>
        <w:top w:val="none" w:sz="0" w:space="0" w:color="auto"/>
        <w:left w:val="none" w:sz="0" w:space="0" w:color="auto"/>
        <w:bottom w:val="none" w:sz="0" w:space="0" w:color="auto"/>
        <w:right w:val="none" w:sz="0" w:space="0" w:color="auto"/>
      </w:divBdr>
    </w:div>
    <w:div w:id="1344629559">
      <w:bodyDiv w:val="1"/>
      <w:marLeft w:val="0"/>
      <w:marRight w:val="0"/>
      <w:marTop w:val="0"/>
      <w:marBottom w:val="0"/>
      <w:divBdr>
        <w:top w:val="none" w:sz="0" w:space="0" w:color="auto"/>
        <w:left w:val="none" w:sz="0" w:space="0" w:color="auto"/>
        <w:bottom w:val="none" w:sz="0" w:space="0" w:color="auto"/>
        <w:right w:val="none" w:sz="0" w:space="0" w:color="auto"/>
      </w:divBdr>
    </w:div>
    <w:div w:id="1387215687">
      <w:bodyDiv w:val="1"/>
      <w:marLeft w:val="0"/>
      <w:marRight w:val="0"/>
      <w:marTop w:val="0"/>
      <w:marBottom w:val="0"/>
      <w:divBdr>
        <w:top w:val="none" w:sz="0" w:space="0" w:color="auto"/>
        <w:left w:val="none" w:sz="0" w:space="0" w:color="auto"/>
        <w:bottom w:val="none" w:sz="0" w:space="0" w:color="auto"/>
        <w:right w:val="none" w:sz="0" w:space="0" w:color="auto"/>
      </w:divBdr>
    </w:div>
    <w:div w:id="1435977561">
      <w:bodyDiv w:val="1"/>
      <w:marLeft w:val="0"/>
      <w:marRight w:val="0"/>
      <w:marTop w:val="0"/>
      <w:marBottom w:val="0"/>
      <w:divBdr>
        <w:top w:val="none" w:sz="0" w:space="0" w:color="auto"/>
        <w:left w:val="none" w:sz="0" w:space="0" w:color="auto"/>
        <w:bottom w:val="none" w:sz="0" w:space="0" w:color="auto"/>
        <w:right w:val="none" w:sz="0" w:space="0" w:color="auto"/>
      </w:divBdr>
    </w:div>
    <w:div w:id="1468474682">
      <w:bodyDiv w:val="1"/>
      <w:marLeft w:val="0"/>
      <w:marRight w:val="0"/>
      <w:marTop w:val="0"/>
      <w:marBottom w:val="0"/>
      <w:divBdr>
        <w:top w:val="none" w:sz="0" w:space="0" w:color="auto"/>
        <w:left w:val="none" w:sz="0" w:space="0" w:color="auto"/>
        <w:bottom w:val="none" w:sz="0" w:space="0" w:color="auto"/>
        <w:right w:val="none" w:sz="0" w:space="0" w:color="auto"/>
      </w:divBdr>
      <w:divsChild>
        <w:div w:id="1273242645">
          <w:marLeft w:val="0"/>
          <w:marRight w:val="0"/>
          <w:marTop w:val="0"/>
          <w:marBottom w:val="0"/>
          <w:divBdr>
            <w:top w:val="none" w:sz="0" w:space="0" w:color="auto"/>
            <w:left w:val="none" w:sz="0" w:space="0" w:color="auto"/>
            <w:bottom w:val="none" w:sz="0" w:space="0" w:color="auto"/>
            <w:right w:val="none" w:sz="0" w:space="0" w:color="auto"/>
          </w:divBdr>
          <w:divsChild>
            <w:div w:id="15494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70351">
      <w:bodyDiv w:val="1"/>
      <w:marLeft w:val="0"/>
      <w:marRight w:val="0"/>
      <w:marTop w:val="0"/>
      <w:marBottom w:val="0"/>
      <w:divBdr>
        <w:top w:val="none" w:sz="0" w:space="0" w:color="auto"/>
        <w:left w:val="none" w:sz="0" w:space="0" w:color="auto"/>
        <w:bottom w:val="none" w:sz="0" w:space="0" w:color="auto"/>
        <w:right w:val="none" w:sz="0" w:space="0" w:color="auto"/>
      </w:divBdr>
    </w:div>
    <w:div w:id="1479808272">
      <w:bodyDiv w:val="1"/>
      <w:marLeft w:val="0"/>
      <w:marRight w:val="0"/>
      <w:marTop w:val="0"/>
      <w:marBottom w:val="0"/>
      <w:divBdr>
        <w:top w:val="none" w:sz="0" w:space="0" w:color="auto"/>
        <w:left w:val="none" w:sz="0" w:space="0" w:color="auto"/>
        <w:bottom w:val="none" w:sz="0" w:space="0" w:color="auto"/>
        <w:right w:val="none" w:sz="0" w:space="0" w:color="auto"/>
      </w:divBdr>
    </w:div>
    <w:div w:id="1526089404">
      <w:bodyDiv w:val="1"/>
      <w:marLeft w:val="0"/>
      <w:marRight w:val="0"/>
      <w:marTop w:val="0"/>
      <w:marBottom w:val="0"/>
      <w:divBdr>
        <w:top w:val="none" w:sz="0" w:space="0" w:color="auto"/>
        <w:left w:val="none" w:sz="0" w:space="0" w:color="auto"/>
        <w:bottom w:val="none" w:sz="0" w:space="0" w:color="auto"/>
        <w:right w:val="none" w:sz="0" w:space="0" w:color="auto"/>
      </w:divBdr>
    </w:div>
    <w:div w:id="1614511498">
      <w:bodyDiv w:val="1"/>
      <w:marLeft w:val="0"/>
      <w:marRight w:val="0"/>
      <w:marTop w:val="0"/>
      <w:marBottom w:val="0"/>
      <w:divBdr>
        <w:top w:val="none" w:sz="0" w:space="0" w:color="auto"/>
        <w:left w:val="none" w:sz="0" w:space="0" w:color="auto"/>
        <w:bottom w:val="none" w:sz="0" w:space="0" w:color="auto"/>
        <w:right w:val="none" w:sz="0" w:space="0" w:color="auto"/>
      </w:divBdr>
    </w:div>
    <w:div w:id="1618564223">
      <w:bodyDiv w:val="1"/>
      <w:marLeft w:val="0"/>
      <w:marRight w:val="0"/>
      <w:marTop w:val="0"/>
      <w:marBottom w:val="0"/>
      <w:divBdr>
        <w:top w:val="none" w:sz="0" w:space="0" w:color="auto"/>
        <w:left w:val="none" w:sz="0" w:space="0" w:color="auto"/>
        <w:bottom w:val="none" w:sz="0" w:space="0" w:color="auto"/>
        <w:right w:val="none" w:sz="0" w:space="0" w:color="auto"/>
      </w:divBdr>
    </w:div>
    <w:div w:id="1662469275">
      <w:bodyDiv w:val="1"/>
      <w:marLeft w:val="0"/>
      <w:marRight w:val="0"/>
      <w:marTop w:val="0"/>
      <w:marBottom w:val="0"/>
      <w:divBdr>
        <w:top w:val="none" w:sz="0" w:space="0" w:color="auto"/>
        <w:left w:val="none" w:sz="0" w:space="0" w:color="auto"/>
        <w:bottom w:val="none" w:sz="0" w:space="0" w:color="auto"/>
        <w:right w:val="none" w:sz="0" w:space="0" w:color="auto"/>
      </w:divBdr>
    </w:div>
    <w:div w:id="1666668885">
      <w:bodyDiv w:val="1"/>
      <w:marLeft w:val="0"/>
      <w:marRight w:val="0"/>
      <w:marTop w:val="0"/>
      <w:marBottom w:val="0"/>
      <w:divBdr>
        <w:top w:val="none" w:sz="0" w:space="0" w:color="auto"/>
        <w:left w:val="none" w:sz="0" w:space="0" w:color="auto"/>
        <w:bottom w:val="none" w:sz="0" w:space="0" w:color="auto"/>
        <w:right w:val="none" w:sz="0" w:space="0" w:color="auto"/>
      </w:divBdr>
      <w:divsChild>
        <w:div w:id="395857524">
          <w:marLeft w:val="0"/>
          <w:marRight w:val="0"/>
          <w:marTop w:val="0"/>
          <w:marBottom w:val="0"/>
          <w:divBdr>
            <w:top w:val="none" w:sz="0" w:space="0" w:color="auto"/>
            <w:left w:val="none" w:sz="0" w:space="0" w:color="auto"/>
            <w:bottom w:val="none" w:sz="0" w:space="0" w:color="auto"/>
            <w:right w:val="none" w:sz="0" w:space="0" w:color="auto"/>
          </w:divBdr>
          <w:divsChild>
            <w:div w:id="131460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65091">
      <w:bodyDiv w:val="1"/>
      <w:marLeft w:val="0"/>
      <w:marRight w:val="0"/>
      <w:marTop w:val="0"/>
      <w:marBottom w:val="0"/>
      <w:divBdr>
        <w:top w:val="none" w:sz="0" w:space="0" w:color="auto"/>
        <w:left w:val="none" w:sz="0" w:space="0" w:color="auto"/>
        <w:bottom w:val="none" w:sz="0" w:space="0" w:color="auto"/>
        <w:right w:val="none" w:sz="0" w:space="0" w:color="auto"/>
      </w:divBdr>
    </w:div>
    <w:div w:id="1689672516">
      <w:bodyDiv w:val="1"/>
      <w:marLeft w:val="0"/>
      <w:marRight w:val="0"/>
      <w:marTop w:val="0"/>
      <w:marBottom w:val="0"/>
      <w:divBdr>
        <w:top w:val="none" w:sz="0" w:space="0" w:color="auto"/>
        <w:left w:val="none" w:sz="0" w:space="0" w:color="auto"/>
        <w:bottom w:val="none" w:sz="0" w:space="0" w:color="auto"/>
        <w:right w:val="none" w:sz="0" w:space="0" w:color="auto"/>
      </w:divBdr>
    </w:div>
    <w:div w:id="1720979917">
      <w:bodyDiv w:val="1"/>
      <w:marLeft w:val="0"/>
      <w:marRight w:val="0"/>
      <w:marTop w:val="0"/>
      <w:marBottom w:val="0"/>
      <w:divBdr>
        <w:top w:val="none" w:sz="0" w:space="0" w:color="auto"/>
        <w:left w:val="none" w:sz="0" w:space="0" w:color="auto"/>
        <w:bottom w:val="none" w:sz="0" w:space="0" w:color="auto"/>
        <w:right w:val="none" w:sz="0" w:space="0" w:color="auto"/>
      </w:divBdr>
    </w:div>
    <w:div w:id="1755205880">
      <w:bodyDiv w:val="1"/>
      <w:marLeft w:val="0"/>
      <w:marRight w:val="0"/>
      <w:marTop w:val="0"/>
      <w:marBottom w:val="0"/>
      <w:divBdr>
        <w:top w:val="none" w:sz="0" w:space="0" w:color="auto"/>
        <w:left w:val="none" w:sz="0" w:space="0" w:color="auto"/>
        <w:bottom w:val="none" w:sz="0" w:space="0" w:color="auto"/>
        <w:right w:val="none" w:sz="0" w:space="0" w:color="auto"/>
      </w:divBdr>
    </w:div>
    <w:div w:id="1779714691">
      <w:bodyDiv w:val="1"/>
      <w:marLeft w:val="0"/>
      <w:marRight w:val="0"/>
      <w:marTop w:val="0"/>
      <w:marBottom w:val="0"/>
      <w:divBdr>
        <w:top w:val="none" w:sz="0" w:space="0" w:color="auto"/>
        <w:left w:val="none" w:sz="0" w:space="0" w:color="auto"/>
        <w:bottom w:val="none" w:sz="0" w:space="0" w:color="auto"/>
        <w:right w:val="none" w:sz="0" w:space="0" w:color="auto"/>
      </w:divBdr>
    </w:div>
    <w:div w:id="1780446586">
      <w:bodyDiv w:val="1"/>
      <w:marLeft w:val="0"/>
      <w:marRight w:val="0"/>
      <w:marTop w:val="0"/>
      <w:marBottom w:val="0"/>
      <w:divBdr>
        <w:top w:val="none" w:sz="0" w:space="0" w:color="auto"/>
        <w:left w:val="none" w:sz="0" w:space="0" w:color="auto"/>
        <w:bottom w:val="none" w:sz="0" w:space="0" w:color="auto"/>
        <w:right w:val="none" w:sz="0" w:space="0" w:color="auto"/>
      </w:divBdr>
      <w:divsChild>
        <w:div w:id="848983905">
          <w:marLeft w:val="0"/>
          <w:marRight w:val="0"/>
          <w:marTop w:val="0"/>
          <w:marBottom w:val="0"/>
          <w:divBdr>
            <w:top w:val="none" w:sz="0" w:space="0" w:color="auto"/>
            <w:left w:val="none" w:sz="0" w:space="0" w:color="auto"/>
            <w:bottom w:val="none" w:sz="0" w:space="0" w:color="auto"/>
            <w:right w:val="none" w:sz="0" w:space="0" w:color="auto"/>
          </w:divBdr>
          <w:divsChild>
            <w:div w:id="9204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8536">
      <w:bodyDiv w:val="1"/>
      <w:marLeft w:val="0"/>
      <w:marRight w:val="0"/>
      <w:marTop w:val="0"/>
      <w:marBottom w:val="0"/>
      <w:divBdr>
        <w:top w:val="none" w:sz="0" w:space="0" w:color="auto"/>
        <w:left w:val="none" w:sz="0" w:space="0" w:color="auto"/>
        <w:bottom w:val="none" w:sz="0" w:space="0" w:color="auto"/>
        <w:right w:val="none" w:sz="0" w:space="0" w:color="auto"/>
      </w:divBdr>
    </w:div>
    <w:div w:id="1895039725">
      <w:bodyDiv w:val="1"/>
      <w:marLeft w:val="0"/>
      <w:marRight w:val="0"/>
      <w:marTop w:val="0"/>
      <w:marBottom w:val="0"/>
      <w:divBdr>
        <w:top w:val="none" w:sz="0" w:space="0" w:color="auto"/>
        <w:left w:val="none" w:sz="0" w:space="0" w:color="auto"/>
        <w:bottom w:val="none" w:sz="0" w:space="0" w:color="auto"/>
        <w:right w:val="none" w:sz="0" w:space="0" w:color="auto"/>
      </w:divBdr>
    </w:div>
    <w:div w:id="1964070994">
      <w:bodyDiv w:val="1"/>
      <w:marLeft w:val="0"/>
      <w:marRight w:val="0"/>
      <w:marTop w:val="0"/>
      <w:marBottom w:val="0"/>
      <w:divBdr>
        <w:top w:val="none" w:sz="0" w:space="0" w:color="auto"/>
        <w:left w:val="none" w:sz="0" w:space="0" w:color="auto"/>
        <w:bottom w:val="none" w:sz="0" w:space="0" w:color="auto"/>
        <w:right w:val="none" w:sz="0" w:space="0" w:color="auto"/>
      </w:divBdr>
    </w:div>
    <w:div w:id="1986350918">
      <w:bodyDiv w:val="1"/>
      <w:marLeft w:val="0"/>
      <w:marRight w:val="0"/>
      <w:marTop w:val="0"/>
      <w:marBottom w:val="0"/>
      <w:divBdr>
        <w:top w:val="none" w:sz="0" w:space="0" w:color="auto"/>
        <w:left w:val="none" w:sz="0" w:space="0" w:color="auto"/>
        <w:bottom w:val="none" w:sz="0" w:space="0" w:color="auto"/>
        <w:right w:val="none" w:sz="0" w:space="0" w:color="auto"/>
      </w:divBdr>
    </w:div>
    <w:div w:id="2050034880">
      <w:bodyDiv w:val="1"/>
      <w:marLeft w:val="0"/>
      <w:marRight w:val="0"/>
      <w:marTop w:val="0"/>
      <w:marBottom w:val="0"/>
      <w:divBdr>
        <w:top w:val="none" w:sz="0" w:space="0" w:color="auto"/>
        <w:left w:val="none" w:sz="0" w:space="0" w:color="auto"/>
        <w:bottom w:val="none" w:sz="0" w:space="0" w:color="auto"/>
        <w:right w:val="none" w:sz="0" w:space="0" w:color="auto"/>
      </w:divBdr>
    </w:div>
    <w:div w:id="2053996095">
      <w:bodyDiv w:val="1"/>
      <w:marLeft w:val="0"/>
      <w:marRight w:val="0"/>
      <w:marTop w:val="0"/>
      <w:marBottom w:val="0"/>
      <w:divBdr>
        <w:top w:val="none" w:sz="0" w:space="0" w:color="auto"/>
        <w:left w:val="none" w:sz="0" w:space="0" w:color="auto"/>
        <w:bottom w:val="none" w:sz="0" w:space="0" w:color="auto"/>
        <w:right w:val="none" w:sz="0" w:space="0" w:color="auto"/>
      </w:divBdr>
    </w:div>
    <w:div w:id="2065060889">
      <w:bodyDiv w:val="1"/>
      <w:marLeft w:val="0"/>
      <w:marRight w:val="0"/>
      <w:marTop w:val="0"/>
      <w:marBottom w:val="0"/>
      <w:divBdr>
        <w:top w:val="none" w:sz="0" w:space="0" w:color="auto"/>
        <w:left w:val="none" w:sz="0" w:space="0" w:color="auto"/>
        <w:bottom w:val="none" w:sz="0" w:space="0" w:color="auto"/>
        <w:right w:val="none" w:sz="0" w:space="0" w:color="auto"/>
      </w:divBdr>
      <w:divsChild>
        <w:div w:id="1833791943">
          <w:marLeft w:val="0"/>
          <w:marRight w:val="0"/>
          <w:marTop w:val="0"/>
          <w:marBottom w:val="0"/>
          <w:divBdr>
            <w:top w:val="none" w:sz="0" w:space="0" w:color="auto"/>
            <w:left w:val="none" w:sz="0" w:space="0" w:color="auto"/>
            <w:bottom w:val="none" w:sz="0" w:space="0" w:color="auto"/>
            <w:right w:val="none" w:sz="0" w:space="0" w:color="auto"/>
          </w:divBdr>
          <w:divsChild>
            <w:div w:id="14219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457290">
      <w:bodyDiv w:val="1"/>
      <w:marLeft w:val="0"/>
      <w:marRight w:val="0"/>
      <w:marTop w:val="0"/>
      <w:marBottom w:val="0"/>
      <w:divBdr>
        <w:top w:val="none" w:sz="0" w:space="0" w:color="auto"/>
        <w:left w:val="none" w:sz="0" w:space="0" w:color="auto"/>
        <w:bottom w:val="none" w:sz="0" w:space="0" w:color="auto"/>
        <w:right w:val="none" w:sz="0" w:space="0" w:color="auto"/>
      </w:divBdr>
    </w:div>
    <w:div w:id="2075616601">
      <w:bodyDiv w:val="1"/>
      <w:marLeft w:val="0"/>
      <w:marRight w:val="0"/>
      <w:marTop w:val="0"/>
      <w:marBottom w:val="0"/>
      <w:divBdr>
        <w:top w:val="none" w:sz="0" w:space="0" w:color="auto"/>
        <w:left w:val="none" w:sz="0" w:space="0" w:color="auto"/>
        <w:bottom w:val="none" w:sz="0" w:space="0" w:color="auto"/>
        <w:right w:val="none" w:sz="0" w:space="0" w:color="auto"/>
      </w:divBdr>
      <w:divsChild>
        <w:div w:id="1922982325">
          <w:marLeft w:val="0"/>
          <w:marRight w:val="0"/>
          <w:marTop w:val="0"/>
          <w:marBottom w:val="0"/>
          <w:divBdr>
            <w:top w:val="none" w:sz="0" w:space="0" w:color="auto"/>
            <w:left w:val="none" w:sz="0" w:space="0" w:color="auto"/>
            <w:bottom w:val="none" w:sz="0" w:space="0" w:color="auto"/>
            <w:right w:val="none" w:sz="0" w:space="0" w:color="auto"/>
          </w:divBdr>
          <w:divsChild>
            <w:div w:id="144869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29531">
      <w:bodyDiv w:val="1"/>
      <w:marLeft w:val="0"/>
      <w:marRight w:val="0"/>
      <w:marTop w:val="0"/>
      <w:marBottom w:val="0"/>
      <w:divBdr>
        <w:top w:val="none" w:sz="0" w:space="0" w:color="auto"/>
        <w:left w:val="none" w:sz="0" w:space="0" w:color="auto"/>
        <w:bottom w:val="none" w:sz="0" w:space="0" w:color="auto"/>
        <w:right w:val="none" w:sz="0" w:space="0" w:color="auto"/>
      </w:divBdr>
    </w:div>
    <w:div w:id="2107581204">
      <w:bodyDiv w:val="1"/>
      <w:marLeft w:val="0"/>
      <w:marRight w:val="0"/>
      <w:marTop w:val="0"/>
      <w:marBottom w:val="0"/>
      <w:divBdr>
        <w:top w:val="none" w:sz="0" w:space="0" w:color="auto"/>
        <w:left w:val="none" w:sz="0" w:space="0" w:color="auto"/>
        <w:bottom w:val="none" w:sz="0" w:space="0" w:color="auto"/>
        <w:right w:val="none" w:sz="0" w:space="0" w:color="auto"/>
      </w:divBdr>
      <w:divsChild>
        <w:div w:id="1173567005">
          <w:marLeft w:val="0"/>
          <w:marRight w:val="0"/>
          <w:marTop w:val="0"/>
          <w:marBottom w:val="0"/>
          <w:divBdr>
            <w:top w:val="none" w:sz="0" w:space="0" w:color="auto"/>
            <w:left w:val="none" w:sz="0" w:space="0" w:color="auto"/>
            <w:bottom w:val="none" w:sz="0" w:space="0" w:color="auto"/>
            <w:right w:val="none" w:sz="0" w:space="0" w:color="auto"/>
          </w:divBdr>
          <w:divsChild>
            <w:div w:id="125096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0820">
      <w:bodyDiv w:val="1"/>
      <w:marLeft w:val="0"/>
      <w:marRight w:val="0"/>
      <w:marTop w:val="0"/>
      <w:marBottom w:val="0"/>
      <w:divBdr>
        <w:top w:val="none" w:sz="0" w:space="0" w:color="auto"/>
        <w:left w:val="none" w:sz="0" w:space="0" w:color="auto"/>
        <w:bottom w:val="none" w:sz="0" w:space="0" w:color="auto"/>
        <w:right w:val="none" w:sz="0" w:space="0" w:color="auto"/>
      </w:divBdr>
    </w:div>
    <w:div w:id="212437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hyperlink" Target="https://indiadataportal.com/p/reserve-bank-of-india/r/rbi-groupwise_credit_by_scbs-dt-yr-vvi"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1FD28-C800-4E74-BFE0-99B10BF63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1222</TotalTime>
  <Pages>20</Pages>
  <Words>3532</Words>
  <Characters>20135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nivi</dc:creator>
  <cp:keywords/>
  <dc:description/>
  <cp:lastModifiedBy>madhu nivi</cp:lastModifiedBy>
  <cp:revision>15</cp:revision>
  <dcterms:created xsi:type="dcterms:W3CDTF">2026-02-25T20:44:00Z</dcterms:created>
  <dcterms:modified xsi:type="dcterms:W3CDTF">2026-03-03T19:26:00Z</dcterms:modified>
</cp:coreProperties>
</file>