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CSE 601 – Data Mining and Bioinformatics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1: Dimensionality Reduction &amp; Association Analysis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  <w:tab/>
        <w:tab/>
        <w:tab/>
        <w:tab/>
        <w:tab/>
        <w:tab/>
        <w:t xml:space="preserve">    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Kiran Ketan Nevrekar, 50336915, kiranket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   </w:t>
        <w:tab/>
        <w:tab/>
        <w:tab/>
        <w:tab/>
        <w:t xml:space="preserve">      Revathy Narayanan, 50336857, revathyn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Saranya Saravanan, 50314931, saravan2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Part 1: Dimensionality Reduction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sz w:val="26"/>
          <w:szCs w:val="26"/>
          <w:rtl w:val="0"/>
        </w:rPr>
        <w:t xml:space="preserve">The aim of this part of the project is to implement dimensionality reduction techniques like Principal Component Analysis, Singular Value Decomposition and T-Stochastic Neighbor Embedding to reduce larger dataset to smaller valuable dataset so that it can be used for meaningful data interpretation.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Principal Component Analysis: </w:t>
      </w:r>
      <w:r w:rsidDel="00000000" w:rsidR="00000000" w:rsidRPr="00000000">
        <w:rPr>
          <w:sz w:val="26"/>
          <w:szCs w:val="26"/>
          <w:rtl w:val="0"/>
        </w:rPr>
        <w:t xml:space="preserve">Principal Component Analysis is a dimensionality reduction technique that is used to reduce dimensionality of large datasets by transforming a large set of attributes to a smaller set of attributes that contains valuable information.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PCA implementation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flow of PCA code implementation is as follows: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list named 'files' is created to contain paths for all the three data files.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pandas the data is converted into a dataframe which is then used throughout the code.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last column in the dataset is the label. Therefore we store it in a separate array variable ‘disease’ and the rest to a variable ‘x’. Now dimensionality reduction is to be performed to this data in ‘x’.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 points in ‘x’ are normalized using the min max normalization which is then used to generate mean adjusted dataset.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mean adjusted dataset is used to find covariance matrix. Co-variance provides the strength between two or more variables.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the resultant covariance matrix, eigendecomposition of the matrix is calculated which produces a list of eigenvalues and eigenvectors.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Eigenvectors from the resultant covariance matrix by passing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covariance matrix in the ‘np.linalg.eig()’ function. Before plotting the values for visualization, complex numbers are removed leaving only with real numbers.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plotly,the transformed two dimensional data are visualized in the form of scatter plots for all the given 3 text files. (Refer figure: 1,2 and 3 for the result)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Packages used for PCA:</w:t>
      </w:r>
      <w:r w:rsidDel="00000000" w:rsidR="00000000" w:rsidRPr="00000000">
        <w:rPr>
          <w:sz w:val="26"/>
          <w:szCs w:val="26"/>
          <w:rtl w:val="0"/>
        </w:rPr>
        <w:t xml:space="preserve"> Pandas, numpy, plotly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Singular Value Decomposition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Singular Value Decomposition is a matrix decomposition method used to reduce matrices thereby making the calculations simpler.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SVD Implementation: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list named 'files' is created to contain paths for all the three data files.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pandas the data is converted into a dataframe which is then used throughout the code.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last column in the dataset is the label. Therefore we store it in a separate array variable ‘disease’ and the rest to a variable ‘x’. Now dimensionality reduction is to be performed to this data in ‘x’.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 points in ‘x’ are normalized using the min max normalization which is then used to generate mean adjusted dataset.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resultant data is then used to fit and transform. Transformation was performed using the inbuilt function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linalg.svd().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Only the first two components are stored from the above step as we require only 2 dimensional data points.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visualization using plotly.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Packages used for SVD: </w:t>
      </w:r>
      <w:r w:rsidDel="00000000" w:rsidR="00000000" w:rsidRPr="00000000">
        <w:rPr>
          <w:sz w:val="26"/>
          <w:szCs w:val="26"/>
          <w:rtl w:val="0"/>
        </w:rPr>
        <w:t xml:space="preserve">pandas, numpy, plotly, linalg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T-Distributed Stochastic Neighbor Embedding: 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T-Distributed Stochastic Neighbor Embedding is a dimensionality reduction method which is used to analyze higher dimensional data. It gives a gist of how the data is arranged in higher dimensional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T-SNE implementation: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list named 'files' is created to contain paths for the three data files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pandas the data is converted into a dataframe which is then used throughout the code.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Assigning last column to the variable ‘disease’ and the rest to a variable ‘x’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numpy , the data points in x are normalized.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resultant data is then used to fit and transform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tsne()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function from sklearn package by specifying the number of reduced components.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visualization using plotly and the resultant data points.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Packages used for T-SNE: </w:t>
      </w:r>
      <w:r w:rsidDel="00000000" w:rsidR="00000000" w:rsidRPr="00000000">
        <w:rPr>
          <w:sz w:val="26"/>
          <w:szCs w:val="26"/>
          <w:rtl w:val="0"/>
        </w:rPr>
        <w:t xml:space="preserve">pandas, numpy, plotly, linalg, TSNE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Results Screenshots: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Principal Component Analysis: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pca_a.txt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45100" cy="2457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Figure:1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pca_b.txt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</w:t>
        <w:tab/>
        <w:t xml:space="preserve">   </w:t>
      </w:r>
      <w:r w:rsidDel="00000000" w:rsidR="00000000" w:rsidRPr="00000000">
        <w:rPr>
          <w:rtl w:val="0"/>
        </w:rPr>
        <w:t xml:space="preserve"> Figure:2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pca_c.txt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Figure:3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Singular Value Decomposition: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SVD on pca_a.txt: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71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</w:t>
        <w:tab/>
      </w:r>
      <w:r w:rsidDel="00000000" w:rsidR="00000000" w:rsidRPr="00000000">
        <w:rPr>
          <w:rtl w:val="0"/>
        </w:rPr>
        <w:t xml:space="preserve">Figure:4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SVD on pca_b.txt: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2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  <w:t xml:space="preserve">Figure:5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SVD on pca_c.txt: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                          </w:t>
      </w:r>
      <w:r w:rsidDel="00000000" w:rsidR="00000000" w:rsidRPr="00000000">
        <w:rPr>
          <w:rtl w:val="0"/>
        </w:rPr>
        <w:t xml:space="preserve">Figure:6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T-Distributed Stochastic Neighbor Embedding: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T-SNE on pca_a.txt: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00700" cy="2752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Figure:7</w:t>
      </w:r>
      <w:r w:rsidDel="00000000" w:rsidR="00000000" w:rsidRPr="00000000">
        <w:rPr>
          <w:b w:val="1"/>
          <w:rtl w:val="0"/>
        </w:rPr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T-SNE on pca_b.txt: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  <w:t xml:space="preserve">Figure:8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T-SNE on pca_c.txt: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                  Figure:9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Even though Principal Component Analysis, Singular Value Decomposition and T- Stochastic Neighbor Embedding are used for dimensionality reduction, they differ in the way they deliver their result.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Their ability to project data in a higher dimensional space differs from each other as in some cases one gives better results than the other.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T-SNE did a better  job than PCA and SVD on separating the clusters and representing them on higher dimensional space. T-SNE differs from PCA by preserving only small pairwise distances or local similarities whereas PCA is concerned with preserving large pairwise distances to maximize variance. 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compared, the distance between the same cluster points seems smaller in T-SNE than the others. However, T-SNE takes longer time than the rest while computing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4B4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utK9jOvCnJ3uXactwgWJNZP/g==">AMUW2mVKyimQtjxx53JmwD5sugkuTcqY/Xx0ZxcsonMbNOnt3PWMgczvt+jrpMiWRqsXLzFBH9r271tDtRe0/mBPTTEtCqiArjmgRlb6vRkui7lrxOeobaA=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2020-09-17T16:23:00Z</dcterms:created>
  <dc:creator>Revathi Nambiyar</dc:creator>
</cp:coreProperties>
</file>