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8269D" w14:textId="77777777" w:rsidR="00F65B1E" w:rsidRPr="00905D9B" w:rsidRDefault="00F65B1E" w:rsidP="008561A2">
      <w:pPr>
        <w:rPr>
          <w:rFonts w:ascii="Times New Roman" w:hAnsi="Times New Roman" w:cs="Times New Roman"/>
          <w:sz w:val="24"/>
          <w:szCs w:val="24"/>
        </w:rPr>
      </w:pPr>
    </w:p>
    <w:p w14:paraId="3CFE50D1" w14:textId="77777777" w:rsidR="00C54C8E" w:rsidRPr="008561A2" w:rsidRDefault="00905D9B" w:rsidP="008561A2">
      <w:pPr>
        <w:jc w:val="center"/>
        <w:rPr>
          <w:rFonts w:ascii="Times New Roman" w:hAnsi="Times New Roman" w:cs="Times New Roman"/>
          <w:sz w:val="32"/>
          <w:szCs w:val="32"/>
        </w:rPr>
      </w:pPr>
      <w:r w:rsidRPr="008561A2">
        <w:rPr>
          <w:rFonts w:ascii="Times New Roman" w:hAnsi="Times New Roman" w:cs="Times New Roman"/>
          <w:b/>
          <w:sz w:val="32"/>
          <w:szCs w:val="32"/>
          <w:u w:val="single"/>
        </w:rPr>
        <w:t>Course</w:t>
      </w:r>
      <w:r w:rsidR="00C54C8E" w:rsidRPr="008561A2">
        <w:rPr>
          <w:rFonts w:ascii="Times New Roman" w:hAnsi="Times New Roman" w:cs="Times New Roman"/>
          <w:b/>
          <w:sz w:val="32"/>
          <w:szCs w:val="32"/>
          <w:u w:val="single"/>
        </w:rPr>
        <w:t xml:space="preserve"> 1</w:t>
      </w:r>
      <w:r w:rsidR="00C54C8E" w:rsidRPr="008561A2">
        <w:rPr>
          <w:rFonts w:ascii="Times New Roman" w:hAnsi="Times New Roman" w:cs="Times New Roman"/>
          <w:sz w:val="32"/>
          <w:szCs w:val="32"/>
        </w:rPr>
        <w:t xml:space="preserve">: </w:t>
      </w:r>
      <w:r w:rsidRPr="008561A2">
        <w:rPr>
          <w:rFonts w:ascii="Times New Roman" w:hAnsi="Times New Roman" w:cs="Times New Roman"/>
          <w:sz w:val="32"/>
          <w:szCs w:val="32"/>
        </w:rPr>
        <w:t>DATA STORYTELLING AND VISUALIZATION</w:t>
      </w:r>
    </w:p>
    <w:p w14:paraId="036F3E77" w14:textId="77777777" w:rsidR="00905D9B" w:rsidRPr="008561A2" w:rsidRDefault="008B57DD" w:rsidP="008561A2">
      <w:pPr>
        <w:jc w:val="center"/>
        <w:rPr>
          <w:rFonts w:ascii="Times New Roman" w:hAnsi="Times New Roman" w:cs="Times New Roman"/>
          <w:sz w:val="32"/>
          <w:szCs w:val="32"/>
        </w:rPr>
      </w:pPr>
      <w:r w:rsidRPr="008561A2">
        <w:rPr>
          <w:rFonts w:ascii="Times New Roman" w:hAnsi="Times New Roman" w:cs="Times New Roman"/>
          <w:b/>
          <w:sz w:val="32"/>
          <w:szCs w:val="32"/>
          <w:u w:val="single"/>
        </w:rPr>
        <w:t>Capstone Project</w:t>
      </w:r>
      <w:r w:rsidRPr="008561A2">
        <w:rPr>
          <w:rFonts w:ascii="Times New Roman" w:hAnsi="Times New Roman" w:cs="Times New Roman"/>
          <w:sz w:val="32"/>
          <w:szCs w:val="32"/>
        </w:rPr>
        <w:t>: TRAVEL AND TOURISM</w:t>
      </w:r>
    </w:p>
    <w:p w14:paraId="5DBC1B38" w14:textId="77777777" w:rsidR="008B57DD" w:rsidRPr="008561A2" w:rsidRDefault="008B57DD" w:rsidP="008561A2">
      <w:pPr>
        <w:jc w:val="center"/>
        <w:rPr>
          <w:rFonts w:ascii="Times New Roman" w:hAnsi="Times New Roman" w:cs="Times New Roman"/>
          <w:sz w:val="32"/>
          <w:szCs w:val="32"/>
        </w:rPr>
      </w:pPr>
      <w:r w:rsidRPr="008561A2">
        <w:rPr>
          <w:rFonts w:ascii="Times New Roman" w:hAnsi="Times New Roman" w:cs="Times New Roman"/>
          <w:b/>
          <w:sz w:val="32"/>
          <w:szCs w:val="32"/>
          <w:u w:val="single"/>
        </w:rPr>
        <w:t>Team Members</w:t>
      </w:r>
      <w:r w:rsidRPr="008561A2">
        <w:rPr>
          <w:rFonts w:ascii="Times New Roman" w:hAnsi="Times New Roman" w:cs="Times New Roman"/>
          <w:sz w:val="32"/>
          <w:szCs w:val="32"/>
        </w:rPr>
        <w:t>: RIYA, REVATI, ROHAN</w:t>
      </w:r>
    </w:p>
    <w:p w14:paraId="146D11D5" w14:textId="77777777" w:rsidR="00905D9B" w:rsidRPr="00905D9B" w:rsidRDefault="00905D9B" w:rsidP="008561A2">
      <w:pPr>
        <w:rPr>
          <w:rFonts w:ascii="Times New Roman" w:hAnsi="Times New Roman" w:cs="Times New Roman"/>
          <w:sz w:val="24"/>
          <w:szCs w:val="24"/>
        </w:rPr>
      </w:pPr>
    </w:p>
    <w:p w14:paraId="3751CDBB" w14:textId="77777777" w:rsidR="00763BC7" w:rsidRDefault="008561A2" w:rsidP="00040FF6">
      <w:pPr>
        <w:pStyle w:val="ListParagraph"/>
        <w:numPr>
          <w:ilvl w:val="0"/>
          <w:numId w:val="15"/>
        </w:numPr>
        <w:jc w:val="both"/>
        <w:rPr>
          <w:rFonts w:ascii="Times New Roman" w:hAnsi="Times New Roman" w:cs="Times New Roman"/>
          <w:sz w:val="24"/>
          <w:szCs w:val="24"/>
        </w:rPr>
      </w:pPr>
      <w:r w:rsidRPr="00905D9B">
        <w:rPr>
          <w:rFonts w:ascii="Times New Roman" w:hAnsi="Times New Roman" w:cs="Times New Roman"/>
          <w:b/>
          <w:sz w:val="24"/>
          <w:szCs w:val="24"/>
          <w:u w:val="single"/>
        </w:rPr>
        <w:t>INTRODUCTION</w:t>
      </w:r>
      <w:r w:rsidR="007C5B93" w:rsidRPr="00905D9B">
        <w:rPr>
          <w:rFonts w:ascii="Times New Roman" w:hAnsi="Times New Roman" w:cs="Times New Roman"/>
          <w:sz w:val="24"/>
          <w:szCs w:val="24"/>
        </w:rPr>
        <w:t xml:space="preserve">: Our project focuses on </w:t>
      </w:r>
      <w:r w:rsidR="00040FF6" w:rsidRPr="00905D9B">
        <w:rPr>
          <w:rFonts w:ascii="Times New Roman" w:hAnsi="Times New Roman" w:cs="Times New Roman"/>
          <w:sz w:val="24"/>
          <w:szCs w:val="24"/>
        </w:rPr>
        <w:t>analysing</w:t>
      </w:r>
      <w:r w:rsidR="007C5B93" w:rsidRPr="00905D9B">
        <w:rPr>
          <w:rFonts w:ascii="Times New Roman" w:hAnsi="Times New Roman" w:cs="Times New Roman"/>
          <w:sz w:val="24"/>
          <w:szCs w:val="24"/>
        </w:rPr>
        <w:t xml:space="preserve"> global travel and tourism data through a dashboard.</w:t>
      </w:r>
      <w:r w:rsidR="00905D9B">
        <w:rPr>
          <w:rFonts w:ascii="Times New Roman" w:hAnsi="Times New Roman" w:cs="Times New Roman"/>
          <w:sz w:val="24"/>
          <w:szCs w:val="24"/>
        </w:rPr>
        <w:t xml:space="preserve"> </w:t>
      </w:r>
      <w:r w:rsidR="007C5B93" w:rsidRPr="00905D9B">
        <w:rPr>
          <w:rFonts w:ascii="Times New Roman" w:hAnsi="Times New Roman" w:cs="Times New Roman"/>
          <w:sz w:val="24"/>
          <w:szCs w:val="24"/>
        </w:rPr>
        <w:t>Through this analysis, we can understand tourism performance, travel trends, revenue growth, and how different regions are performing.</w:t>
      </w:r>
      <w:r w:rsidR="00905D9B">
        <w:rPr>
          <w:rFonts w:ascii="Times New Roman" w:hAnsi="Times New Roman" w:cs="Times New Roman"/>
          <w:sz w:val="24"/>
          <w:szCs w:val="24"/>
        </w:rPr>
        <w:t xml:space="preserve"> </w:t>
      </w:r>
      <w:r w:rsidR="007C5B93" w:rsidRPr="00905D9B">
        <w:rPr>
          <w:rFonts w:ascii="Times New Roman" w:hAnsi="Times New Roman" w:cs="Times New Roman"/>
          <w:sz w:val="24"/>
          <w:szCs w:val="24"/>
        </w:rPr>
        <w:t>The dashboard helps us identify important trends and patterns from the data that can help in better decision-making.</w:t>
      </w:r>
    </w:p>
    <w:p w14:paraId="4CD3A217" w14:textId="77777777" w:rsidR="00763BC7" w:rsidRPr="008561A2" w:rsidRDefault="00763BC7" w:rsidP="008561A2">
      <w:pPr>
        <w:rPr>
          <w:rFonts w:ascii="Times New Roman" w:hAnsi="Times New Roman" w:cs="Times New Roman"/>
          <w:sz w:val="28"/>
          <w:szCs w:val="28"/>
        </w:rPr>
      </w:pPr>
    </w:p>
    <w:tbl>
      <w:tblPr>
        <w:tblStyle w:val="TableGrid"/>
        <w:tblW w:w="15469" w:type="dxa"/>
        <w:tblInd w:w="-714" w:type="dxa"/>
        <w:tblLayout w:type="fixed"/>
        <w:tblLook w:val="04A0" w:firstRow="1" w:lastRow="0" w:firstColumn="1" w:lastColumn="0" w:noHBand="0" w:noVBand="1"/>
      </w:tblPr>
      <w:tblGrid>
        <w:gridCol w:w="3238"/>
        <w:gridCol w:w="8181"/>
        <w:gridCol w:w="4050"/>
      </w:tblGrid>
      <w:tr w:rsidR="003C5389" w:rsidRPr="008561A2" w14:paraId="7A3FA47E" w14:textId="77777777" w:rsidTr="001B25BF">
        <w:tc>
          <w:tcPr>
            <w:tcW w:w="3238" w:type="dxa"/>
            <w:shd w:val="clear" w:color="auto" w:fill="E2EFD9" w:themeFill="accent6" w:themeFillTint="33"/>
          </w:tcPr>
          <w:p w14:paraId="6DFE23F2" w14:textId="77777777" w:rsidR="00F65B1E" w:rsidRPr="008561A2" w:rsidRDefault="00F65B1E" w:rsidP="008561A2">
            <w:pPr>
              <w:jc w:val="center"/>
              <w:rPr>
                <w:rFonts w:ascii="Times New Roman" w:hAnsi="Times New Roman" w:cs="Times New Roman"/>
                <w:b/>
                <w:sz w:val="28"/>
                <w:szCs w:val="28"/>
              </w:rPr>
            </w:pPr>
            <w:r w:rsidRPr="008561A2">
              <w:rPr>
                <w:rFonts w:ascii="Times New Roman" w:hAnsi="Times New Roman" w:cs="Times New Roman"/>
                <w:b/>
                <w:sz w:val="28"/>
                <w:szCs w:val="28"/>
              </w:rPr>
              <w:t>OBJECTIVES</w:t>
            </w:r>
          </w:p>
        </w:tc>
        <w:tc>
          <w:tcPr>
            <w:tcW w:w="8181" w:type="dxa"/>
            <w:shd w:val="clear" w:color="auto" w:fill="E2EFD9" w:themeFill="accent6" w:themeFillTint="33"/>
          </w:tcPr>
          <w:p w14:paraId="49B5E1B7" w14:textId="77777777" w:rsidR="00F65B1E" w:rsidRPr="008561A2" w:rsidRDefault="00F65B1E" w:rsidP="008561A2">
            <w:pPr>
              <w:tabs>
                <w:tab w:val="center" w:pos="3010"/>
              </w:tabs>
              <w:jc w:val="center"/>
              <w:rPr>
                <w:rFonts w:ascii="Times New Roman" w:hAnsi="Times New Roman" w:cs="Times New Roman"/>
                <w:b/>
                <w:sz w:val="28"/>
                <w:szCs w:val="28"/>
              </w:rPr>
            </w:pPr>
            <w:r w:rsidRPr="008561A2">
              <w:rPr>
                <w:rFonts w:ascii="Times New Roman" w:hAnsi="Times New Roman" w:cs="Times New Roman"/>
                <w:b/>
                <w:sz w:val="28"/>
                <w:szCs w:val="28"/>
              </w:rPr>
              <w:t>VISUALS</w:t>
            </w:r>
          </w:p>
        </w:tc>
        <w:tc>
          <w:tcPr>
            <w:tcW w:w="4050" w:type="dxa"/>
            <w:shd w:val="clear" w:color="auto" w:fill="E2EFD9" w:themeFill="accent6" w:themeFillTint="33"/>
          </w:tcPr>
          <w:p w14:paraId="61A10B69" w14:textId="77777777" w:rsidR="00F65B1E" w:rsidRPr="008561A2" w:rsidRDefault="00F65B1E" w:rsidP="008561A2">
            <w:pPr>
              <w:jc w:val="center"/>
              <w:rPr>
                <w:rFonts w:ascii="Times New Roman" w:hAnsi="Times New Roman" w:cs="Times New Roman"/>
                <w:b/>
                <w:sz w:val="28"/>
                <w:szCs w:val="28"/>
              </w:rPr>
            </w:pPr>
            <w:r w:rsidRPr="008561A2">
              <w:rPr>
                <w:rFonts w:ascii="Times New Roman" w:hAnsi="Times New Roman" w:cs="Times New Roman"/>
                <w:b/>
                <w:sz w:val="28"/>
                <w:szCs w:val="28"/>
              </w:rPr>
              <w:t>INTERPRETATIONS</w:t>
            </w:r>
          </w:p>
        </w:tc>
      </w:tr>
      <w:tr w:rsidR="003C5389" w:rsidRPr="00905D9B" w14:paraId="7533DB85" w14:textId="77777777" w:rsidTr="001B25BF">
        <w:tc>
          <w:tcPr>
            <w:tcW w:w="3238" w:type="dxa"/>
          </w:tcPr>
          <w:p w14:paraId="0B05C395" w14:textId="224407E6" w:rsidR="00F65B1E" w:rsidRPr="00E006C2" w:rsidRDefault="00FF331F" w:rsidP="00E006C2">
            <w:pPr>
              <w:pStyle w:val="ListParagraph"/>
              <w:numPr>
                <w:ilvl w:val="0"/>
                <w:numId w:val="31"/>
              </w:numPr>
              <w:rPr>
                <w:rFonts w:ascii="Times New Roman" w:hAnsi="Times New Roman" w:cs="Times New Roman"/>
                <w:b/>
                <w:bCs/>
                <w:sz w:val="24"/>
                <w:szCs w:val="24"/>
              </w:rPr>
            </w:pPr>
            <w:r w:rsidRPr="00E006C2">
              <w:rPr>
                <w:rFonts w:ascii="Times New Roman" w:hAnsi="Times New Roman" w:cs="Times New Roman"/>
                <w:b/>
                <w:bCs/>
                <w:sz w:val="24"/>
                <w:szCs w:val="24"/>
              </w:rPr>
              <w:t>Country-wise dependency on tourism Exports</w:t>
            </w:r>
            <w:r w:rsidR="00CE26C8" w:rsidRPr="00E006C2">
              <w:rPr>
                <w:rFonts w:ascii="Times New Roman" w:hAnsi="Times New Roman" w:cs="Times New Roman"/>
                <w:b/>
                <w:bCs/>
                <w:sz w:val="24"/>
                <w:szCs w:val="24"/>
              </w:rPr>
              <w:t xml:space="preserve"> </w:t>
            </w:r>
            <w:r w:rsidRPr="00E006C2">
              <w:rPr>
                <w:rFonts w:ascii="Times New Roman" w:hAnsi="Times New Roman" w:cs="Times New Roman"/>
                <w:b/>
                <w:bCs/>
                <w:sz w:val="24"/>
                <w:szCs w:val="24"/>
              </w:rPr>
              <w:t>(%)</w:t>
            </w:r>
          </w:p>
          <w:p w14:paraId="5BD2385C" w14:textId="26F246ED" w:rsidR="00CE26C8" w:rsidRDefault="00CE26C8" w:rsidP="00CE26C8">
            <w:pPr>
              <w:pStyle w:val="ListParagraph"/>
              <w:numPr>
                <w:ilvl w:val="0"/>
                <w:numId w:val="17"/>
              </w:numPr>
              <w:rPr>
                <w:rFonts w:ascii="Times New Roman" w:hAnsi="Times New Roman" w:cs="Times New Roman"/>
                <w:sz w:val="24"/>
                <w:szCs w:val="24"/>
              </w:rPr>
            </w:pPr>
            <w:r w:rsidRPr="00CE26C8">
              <w:rPr>
                <w:rFonts w:ascii="Times New Roman" w:hAnsi="Times New Roman" w:cs="Times New Roman"/>
                <w:sz w:val="24"/>
                <w:szCs w:val="24"/>
              </w:rPr>
              <w:t xml:space="preserve">To identify </w:t>
            </w:r>
            <w:r>
              <w:rPr>
                <w:rFonts w:ascii="Times New Roman" w:hAnsi="Times New Roman" w:cs="Times New Roman"/>
                <w:sz w:val="24"/>
                <w:szCs w:val="24"/>
              </w:rPr>
              <w:t>which country is most dependent on tourism for export earnings.</w:t>
            </w:r>
          </w:p>
          <w:p w14:paraId="503EE3FF" w14:textId="50886B9F" w:rsidR="00CE26C8" w:rsidRPr="00CE26C8" w:rsidRDefault="00CE26C8" w:rsidP="00CE26C8">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To compare </w:t>
            </w:r>
            <w:r w:rsidR="006218F5">
              <w:rPr>
                <w:rFonts w:ascii="Times New Roman" w:hAnsi="Times New Roman" w:cs="Times New Roman"/>
                <w:sz w:val="24"/>
                <w:szCs w:val="24"/>
              </w:rPr>
              <w:t xml:space="preserve">tourism </w:t>
            </w:r>
            <w:r>
              <w:rPr>
                <w:rFonts w:ascii="Times New Roman" w:hAnsi="Times New Roman" w:cs="Times New Roman"/>
                <w:sz w:val="24"/>
                <w:szCs w:val="24"/>
              </w:rPr>
              <w:t>exports of different countries.</w:t>
            </w:r>
          </w:p>
          <w:p w14:paraId="772CDD07" w14:textId="77777777" w:rsidR="00F65B1E" w:rsidRPr="00905D9B" w:rsidRDefault="00F65B1E" w:rsidP="008561A2">
            <w:pPr>
              <w:rPr>
                <w:rFonts w:ascii="Times New Roman" w:hAnsi="Times New Roman" w:cs="Times New Roman"/>
                <w:sz w:val="24"/>
                <w:szCs w:val="24"/>
              </w:rPr>
            </w:pPr>
          </w:p>
        </w:tc>
        <w:tc>
          <w:tcPr>
            <w:tcW w:w="8181" w:type="dxa"/>
          </w:tcPr>
          <w:p w14:paraId="2F84783B" w14:textId="2856F308" w:rsidR="00FF331F" w:rsidRDefault="00FF331F" w:rsidP="008561A2">
            <w:pPr>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4DB85858" wp14:editId="7374D853">
                  <wp:simplePos x="0" y="0"/>
                  <wp:positionH relativeFrom="column">
                    <wp:posOffset>589915</wp:posOffset>
                  </wp:positionH>
                  <wp:positionV relativeFrom="paragraph">
                    <wp:posOffset>68580</wp:posOffset>
                  </wp:positionV>
                  <wp:extent cx="4099560" cy="2133600"/>
                  <wp:effectExtent l="0" t="0" r="15240" b="0"/>
                  <wp:wrapTopAndBottom/>
                  <wp:docPr id="1684825052" name="Chart 1">
                    <a:extLst xmlns:a="http://schemas.openxmlformats.org/drawingml/2006/main">
                      <a:ext uri="{FF2B5EF4-FFF2-40B4-BE49-F238E27FC236}">
                        <a16:creationId xmlns:a16="http://schemas.microsoft.com/office/drawing/2014/main" id="{6D88D0F6-3EEC-495F-9090-92CD53656F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01C7052B" w14:textId="77777777" w:rsidR="00FF331F" w:rsidRDefault="00FF331F" w:rsidP="008561A2">
            <w:pPr>
              <w:rPr>
                <w:rFonts w:ascii="Times New Roman" w:hAnsi="Times New Roman" w:cs="Times New Roman"/>
                <w:sz w:val="24"/>
                <w:szCs w:val="24"/>
              </w:rPr>
            </w:pPr>
            <w:r>
              <w:rPr>
                <w:rFonts w:ascii="Times New Roman" w:hAnsi="Times New Roman" w:cs="Times New Roman"/>
                <w:sz w:val="24"/>
                <w:szCs w:val="24"/>
              </w:rPr>
              <w:t>Tools/Techniques:</w:t>
            </w:r>
            <w:r w:rsidR="006218F5">
              <w:rPr>
                <w:rFonts w:ascii="Times New Roman" w:hAnsi="Times New Roman" w:cs="Times New Roman"/>
                <w:sz w:val="24"/>
                <w:szCs w:val="24"/>
              </w:rPr>
              <w:t xml:space="preserve"> </w:t>
            </w:r>
            <w:r w:rsidR="008B6532">
              <w:rPr>
                <w:rFonts w:ascii="Times New Roman" w:hAnsi="Times New Roman" w:cs="Times New Roman"/>
                <w:sz w:val="24"/>
                <w:szCs w:val="24"/>
              </w:rPr>
              <w:t>Bar Chart</w:t>
            </w:r>
            <w:r w:rsidR="00D17C0D">
              <w:rPr>
                <w:rFonts w:ascii="Times New Roman" w:hAnsi="Times New Roman" w:cs="Times New Roman"/>
                <w:sz w:val="24"/>
                <w:szCs w:val="24"/>
              </w:rPr>
              <w:t>, Data Comparison, Categorization by country</w:t>
            </w:r>
          </w:p>
          <w:p w14:paraId="057B2763" w14:textId="2A1EE81F" w:rsidR="00D17C0D" w:rsidRPr="00905D9B" w:rsidRDefault="00D17C0D" w:rsidP="008561A2">
            <w:pPr>
              <w:rPr>
                <w:rFonts w:ascii="Times New Roman" w:hAnsi="Times New Roman" w:cs="Times New Roman"/>
                <w:sz w:val="24"/>
                <w:szCs w:val="24"/>
              </w:rPr>
            </w:pPr>
          </w:p>
        </w:tc>
        <w:tc>
          <w:tcPr>
            <w:tcW w:w="4050" w:type="dxa"/>
          </w:tcPr>
          <w:p w14:paraId="71DA88D3" w14:textId="77777777" w:rsidR="00F65B1E" w:rsidRPr="006218F5" w:rsidRDefault="006218F5" w:rsidP="001B25BF">
            <w:pPr>
              <w:pStyle w:val="ListParagraph"/>
              <w:numPr>
                <w:ilvl w:val="0"/>
                <w:numId w:val="18"/>
              </w:numPr>
              <w:jc w:val="both"/>
              <w:rPr>
                <w:rFonts w:ascii="Times New Roman" w:eastAsia="Times New Roman" w:hAnsi="Times New Roman" w:cs="Times New Roman"/>
                <w:sz w:val="24"/>
                <w:szCs w:val="24"/>
                <w:lang w:eastAsia="en-IN"/>
              </w:rPr>
            </w:pPr>
            <w:r w:rsidRPr="006218F5">
              <w:rPr>
                <w:rFonts w:ascii="Times New Roman" w:eastAsia="Times New Roman" w:hAnsi="Times New Roman" w:cs="Times New Roman"/>
                <w:sz w:val="24"/>
                <w:szCs w:val="24"/>
                <w:lang w:eastAsia="en-IN"/>
              </w:rPr>
              <w:t>Antigua and Barbuda has the highest dependency at 79.55%.</w:t>
            </w:r>
          </w:p>
          <w:p w14:paraId="365B2A77" w14:textId="77777777" w:rsidR="006218F5" w:rsidRPr="006218F5" w:rsidRDefault="006218F5" w:rsidP="001B25BF">
            <w:pPr>
              <w:pStyle w:val="ListParagraph"/>
              <w:numPr>
                <w:ilvl w:val="0"/>
                <w:numId w:val="18"/>
              </w:numPr>
              <w:jc w:val="both"/>
              <w:rPr>
                <w:rFonts w:ascii="Times New Roman" w:eastAsia="Times New Roman" w:hAnsi="Times New Roman" w:cs="Times New Roman"/>
                <w:sz w:val="24"/>
                <w:szCs w:val="24"/>
                <w:lang w:eastAsia="en-IN"/>
              </w:rPr>
            </w:pPr>
            <w:r w:rsidRPr="006218F5">
              <w:rPr>
                <w:rFonts w:ascii="Times New Roman" w:eastAsia="Times New Roman" w:hAnsi="Times New Roman" w:cs="Times New Roman"/>
                <w:sz w:val="24"/>
                <w:szCs w:val="24"/>
                <w:lang w:eastAsia="en-IN"/>
              </w:rPr>
              <w:t>This indicates its economy is highly dependent on tourism.</w:t>
            </w:r>
          </w:p>
          <w:p w14:paraId="37CE350F" w14:textId="718C92FB" w:rsidR="006218F5" w:rsidRPr="006218F5" w:rsidRDefault="006218F5" w:rsidP="001B25BF">
            <w:pPr>
              <w:pStyle w:val="ListParagraph"/>
              <w:numPr>
                <w:ilvl w:val="0"/>
                <w:numId w:val="18"/>
              </w:numPr>
              <w:jc w:val="both"/>
              <w:rPr>
                <w:rFonts w:ascii="Times New Roman" w:eastAsia="Times New Roman" w:hAnsi="Times New Roman" w:cs="Times New Roman"/>
                <w:sz w:val="24"/>
                <w:szCs w:val="24"/>
                <w:lang w:eastAsia="en-IN"/>
              </w:rPr>
            </w:pPr>
            <w:r w:rsidRPr="006218F5">
              <w:rPr>
                <w:rFonts w:ascii="Times New Roman" w:eastAsia="Times New Roman" w:hAnsi="Times New Roman" w:cs="Times New Roman"/>
                <w:sz w:val="24"/>
                <w:szCs w:val="24"/>
                <w:lang w:eastAsia="en-IN"/>
              </w:rPr>
              <w:t>Countries like Armenia (29.66%) and Austria (13.20%) show moderate dependency.</w:t>
            </w:r>
          </w:p>
          <w:p w14:paraId="2513E339" w14:textId="77777777" w:rsidR="006218F5" w:rsidRDefault="006218F5" w:rsidP="001B25BF">
            <w:pPr>
              <w:pStyle w:val="ListParagraph"/>
              <w:numPr>
                <w:ilvl w:val="0"/>
                <w:numId w:val="18"/>
              </w:numPr>
              <w:jc w:val="both"/>
              <w:rPr>
                <w:rFonts w:ascii="Times New Roman" w:eastAsia="Times New Roman" w:hAnsi="Times New Roman" w:cs="Times New Roman"/>
                <w:sz w:val="24"/>
                <w:szCs w:val="24"/>
                <w:lang w:eastAsia="en-IN"/>
              </w:rPr>
            </w:pPr>
            <w:r w:rsidRPr="006218F5">
              <w:rPr>
                <w:rFonts w:ascii="Times New Roman" w:eastAsia="Times New Roman" w:hAnsi="Times New Roman" w:cs="Times New Roman"/>
                <w:sz w:val="24"/>
                <w:szCs w:val="24"/>
                <w:lang w:eastAsia="en-IN"/>
              </w:rPr>
              <w:t>UAE (7.86%) has the Lowest dependency on tourism.</w:t>
            </w:r>
          </w:p>
          <w:p w14:paraId="4F07B191" w14:textId="12B86C54" w:rsidR="006218F5" w:rsidRPr="006218F5" w:rsidRDefault="006218F5" w:rsidP="001B25BF">
            <w:pPr>
              <w:pStyle w:val="ListParagraph"/>
              <w:numPr>
                <w:ilvl w:val="0"/>
                <w:numId w:val="1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Developing countries like Austria &amp; Belgium have low export dependency despite good arrivals, indicating </w:t>
            </w:r>
            <w:r w:rsidRPr="006218F5">
              <w:rPr>
                <w:rFonts w:ascii="Times New Roman" w:eastAsia="Times New Roman" w:hAnsi="Times New Roman" w:cs="Times New Roman"/>
                <w:sz w:val="24"/>
                <w:szCs w:val="24"/>
                <w:lang w:eastAsia="en-IN"/>
              </w:rPr>
              <w:t>they have strong other export sectors</w:t>
            </w:r>
            <w:r w:rsidR="001B25BF">
              <w:rPr>
                <w:rFonts w:ascii="Times New Roman" w:eastAsia="Times New Roman" w:hAnsi="Times New Roman" w:cs="Times New Roman"/>
                <w:sz w:val="24"/>
                <w:szCs w:val="24"/>
                <w:lang w:eastAsia="en-IN"/>
              </w:rPr>
              <w:t>.</w:t>
            </w:r>
          </w:p>
        </w:tc>
      </w:tr>
      <w:tr w:rsidR="003C5389" w:rsidRPr="00905D9B" w14:paraId="18F0D8DB" w14:textId="77777777" w:rsidTr="001B25BF">
        <w:trPr>
          <w:trHeight w:val="3676"/>
        </w:trPr>
        <w:tc>
          <w:tcPr>
            <w:tcW w:w="3238" w:type="dxa"/>
          </w:tcPr>
          <w:p w14:paraId="21BE7E96" w14:textId="1A3A9ABA" w:rsidR="00F65B1E" w:rsidRPr="00E006C2" w:rsidRDefault="00FF331F" w:rsidP="00E006C2">
            <w:pPr>
              <w:pStyle w:val="ListParagraph"/>
              <w:numPr>
                <w:ilvl w:val="0"/>
                <w:numId w:val="31"/>
              </w:numPr>
              <w:rPr>
                <w:rFonts w:ascii="Times New Roman" w:hAnsi="Times New Roman" w:cs="Times New Roman"/>
                <w:b/>
                <w:bCs/>
                <w:sz w:val="24"/>
                <w:szCs w:val="24"/>
              </w:rPr>
            </w:pPr>
            <w:r w:rsidRPr="00E006C2">
              <w:rPr>
                <w:rFonts w:ascii="Times New Roman" w:hAnsi="Times New Roman" w:cs="Times New Roman"/>
                <w:b/>
                <w:bCs/>
                <w:sz w:val="24"/>
                <w:szCs w:val="24"/>
              </w:rPr>
              <w:lastRenderedPageBreak/>
              <w:t>Tourism arrivals vs Tourism Income</w:t>
            </w:r>
          </w:p>
          <w:p w14:paraId="55A46769" w14:textId="01DA0B58" w:rsidR="001B25BF" w:rsidRDefault="001B25BF" w:rsidP="001B25BF">
            <w:pPr>
              <w:pStyle w:val="ListParagraph"/>
              <w:numPr>
                <w:ilvl w:val="0"/>
                <w:numId w:val="20"/>
              </w:numPr>
              <w:rPr>
                <w:rFonts w:ascii="Times New Roman" w:hAnsi="Times New Roman" w:cs="Times New Roman"/>
                <w:sz w:val="24"/>
                <w:szCs w:val="24"/>
              </w:rPr>
            </w:pPr>
            <w:r w:rsidRPr="001B25BF">
              <w:rPr>
                <w:rFonts w:ascii="Times New Roman" w:hAnsi="Times New Roman" w:cs="Times New Roman"/>
                <w:sz w:val="24"/>
                <w:szCs w:val="24"/>
              </w:rPr>
              <w:t xml:space="preserve">To </w:t>
            </w:r>
            <w:proofErr w:type="spellStart"/>
            <w:r w:rsidRPr="001B25BF">
              <w:rPr>
                <w:rFonts w:ascii="Times New Roman" w:hAnsi="Times New Roman" w:cs="Times New Roman"/>
                <w:sz w:val="24"/>
                <w:szCs w:val="24"/>
              </w:rPr>
              <w:t>analyze</w:t>
            </w:r>
            <w:proofErr w:type="spellEnd"/>
            <w:r w:rsidRPr="001B25BF">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1B25BF">
              <w:rPr>
                <w:rFonts w:ascii="Times New Roman" w:hAnsi="Times New Roman" w:cs="Times New Roman"/>
                <w:sz w:val="24"/>
                <w:szCs w:val="24"/>
              </w:rPr>
              <w:t>correlation between tourist arrivals &amp; tourism income</w:t>
            </w:r>
            <w:r>
              <w:rPr>
                <w:rFonts w:ascii="Times New Roman" w:hAnsi="Times New Roman" w:cs="Times New Roman"/>
                <w:sz w:val="24"/>
                <w:szCs w:val="24"/>
              </w:rPr>
              <w:t xml:space="preserve"> generated.</w:t>
            </w:r>
          </w:p>
          <w:p w14:paraId="4C350DBA" w14:textId="3FECFE06" w:rsidR="001B25BF" w:rsidRPr="001B25BF" w:rsidRDefault="001B25BF" w:rsidP="001B25BF">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To find out if more tourists directly result in higher tourism revenue </w:t>
            </w:r>
          </w:p>
        </w:tc>
        <w:tc>
          <w:tcPr>
            <w:tcW w:w="8181" w:type="dxa"/>
          </w:tcPr>
          <w:p w14:paraId="35280E62" w14:textId="461C82A8" w:rsidR="00EE133B" w:rsidRDefault="00EE133B" w:rsidP="008561A2">
            <w:pPr>
              <w:rPr>
                <w:rFonts w:ascii="Times New Roman" w:hAnsi="Times New Roman" w:cs="Times New Roman"/>
                <w:sz w:val="24"/>
                <w:szCs w:val="24"/>
                <w:u w:val="single"/>
              </w:rPr>
            </w:pPr>
            <w:r>
              <w:rPr>
                <w:noProof/>
              </w:rPr>
              <w:drawing>
                <wp:anchor distT="0" distB="0" distL="114300" distR="114300" simplePos="0" relativeHeight="251659264" behindDoc="0" locked="0" layoutInCell="1" allowOverlap="1" wp14:anchorId="0D3FA8F1" wp14:editId="1AA50E49">
                  <wp:simplePos x="0" y="0"/>
                  <wp:positionH relativeFrom="column">
                    <wp:posOffset>163195</wp:posOffset>
                  </wp:positionH>
                  <wp:positionV relativeFrom="paragraph">
                    <wp:posOffset>83820</wp:posOffset>
                  </wp:positionV>
                  <wp:extent cx="4846320" cy="2171700"/>
                  <wp:effectExtent l="0" t="0" r="11430" b="0"/>
                  <wp:wrapTopAndBottom/>
                  <wp:docPr id="1078043899" name="Chart 1">
                    <a:extLst xmlns:a="http://schemas.openxmlformats.org/drawingml/2006/main">
                      <a:ext uri="{FF2B5EF4-FFF2-40B4-BE49-F238E27FC236}">
                        <a16:creationId xmlns:a16="http://schemas.microsoft.com/office/drawing/2014/main" id="{FC8BBB18-203B-4F49-820A-E6B441114E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60798BE9" w14:textId="45CEABFA" w:rsidR="00EE133B" w:rsidRDefault="008561A2" w:rsidP="008561A2">
            <w:pPr>
              <w:rPr>
                <w:rFonts w:ascii="Times New Roman" w:hAnsi="Times New Roman" w:cs="Times New Roman"/>
                <w:sz w:val="24"/>
                <w:szCs w:val="24"/>
              </w:rPr>
            </w:pPr>
            <w:r w:rsidRPr="008561A2">
              <w:rPr>
                <w:rFonts w:ascii="Times New Roman" w:hAnsi="Times New Roman" w:cs="Times New Roman"/>
                <w:sz w:val="24"/>
                <w:szCs w:val="24"/>
                <w:u w:val="single"/>
              </w:rPr>
              <w:t>Tools/Techniques</w:t>
            </w:r>
            <w:r w:rsidR="00360815" w:rsidRPr="00905D9B">
              <w:rPr>
                <w:rFonts w:ascii="Times New Roman" w:hAnsi="Times New Roman" w:cs="Times New Roman"/>
                <w:sz w:val="24"/>
                <w:szCs w:val="24"/>
              </w:rPr>
              <w:t xml:space="preserve">: </w:t>
            </w:r>
            <w:r w:rsidR="008B6532">
              <w:rPr>
                <w:rFonts w:ascii="Times New Roman" w:hAnsi="Times New Roman" w:cs="Times New Roman"/>
                <w:sz w:val="24"/>
                <w:szCs w:val="24"/>
              </w:rPr>
              <w:t>Scatter plot</w:t>
            </w:r>
            <w:r w:rsidR="00D17C0D">
              <w:rPr>
                <w:rFonts w:ascii="Times New Roman" w:hAnsi="Times New Roman" w:cs="Times New Roman"/>
                <w:sz w:val="24"/>
                <w:szCs w:val="24"/>
              </w:rPr>
              <w:t>, Correlation analysis, trendline(R=0.9), outlier detection.</w:t>
            </w:r>
          </w:p>
          <w:p w14:paraId="25F8A8ED" w14:textId="38E50C7A" w:rsidR="00EE133B" w:rsidRPr="00905D9B" w:rsidRDefault="00EE133B" w:rsidP="008561A2">
            <w:pPr>
              <w:rPr>
                <w:rFonts w:ascii="Times New Roman" w:hAnsi="Times New Roman" w:cs="Times New Roman"/>
                <w:sz w:val="24"/>
                <w:szCs w:val="24"/>
              </w:rPr>
            </w:pPr>
          </w:p>
        </w:tc>
        <w:tc>
          <w:tcPr>
            <w:tcW w:w="4050" w:type="dxa"/>
          </w:tcPr>
          <w:p w14:paraId="29D97D1A" w14:textId="77777777" w:rsidR="00EE133B" w:rsidRDefault="001B25BF" w:rsidP="001B25BF">
            <w:pPr>
              <w:pStyle w:val="ListParagraph"/>
              <w:numPr>
                <w:ilvl w:val="0"/>
                <w:numId w:val="10"/>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Strong positive correlation</w:t>
            </w:r>
          </w:p>
          <w:p w14:paraId="5C23EC2C" w14:textId="5CA7BBB9" w:rsidR="00360815" w:rsidRDefault="001B25BF" w:rsidP="00EE133B">
            <w:pPr>
              <w:pStyle w:val="ListParagraph"/>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EE133B">
              <w:rPr>
                <w:rFonts w:ascii="Times New Roman" w:eastAsia="Times New Roman" w:hAnsi="Times New Roman" w:cs="Times New Roman"/>
                <w:sz w:val="24"/>
                <w:szCs w:val="24"/>
                <w:lang w:eastAsia="en-IN"/>
              </w:rPr>
              <w:t>(R = 0.9)</w:t>
            </w:r>
            <w:r>
              <w:rPr>
                <w:rFonts w:ascii="Times New Roman" w:eastAsia="Times New Roman" w:hAnsi="Times New Roman" w:cs="Times New Roman"/>
                <w:sz w:val="24"/>
                <w:szCs w:val="24"/>
                <w:lang w:eastAsia="en-IN"/>
              </w:rPr>
              <w:t>.</w:t>
            </w:r>
          </w:p>
          <w:p w14:paraId="518AF39F" w14:textId="77777777" w:rsidR="001B25BF" w:rsidRDefault="001B25BF" w:rsidP="001B25BF">
            <w:pPr>
              <w:pStyle w:val="ListParagraph"/>
              <w:numPr>
                <w:ilvl w:val="0"/>
                <w:numId w:val="10"/>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 tourist arrivals increase, tourism income also increases proportionally.</w:t>
            </w:r>
          </w:p>
          <w:p w14:paraId="7267DF50" w14:textId="1345F434" w:rsidR="001B25BF" w:rsidRDefault="001B25BF" w:rsidP="001B25BF">
            <w:pPr>
              <w:pStyle w:val="ListParagraph"/>
              <w:numPr>
                <w:ilvl w:val="0"/>
                <w:numId w:val="10"/>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Arab World cluster at the top-right shows the highest arrivals generating the</w:t>
            </w:r>
            <w:r w:rsidR="00EE133B">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highest income.</w:t>
            </w:r>
          </w:p>
          <w:p w14:paraId="40BA196F" w14:textId="77777777" w:rsidR="001B25BF" w:rsidRDefault="00EE133B" w:rsidP="001B25BF">
            <w:pPr>
              <w:pStyle w:val="ListParagraph"/>
              <w:numPr>
                <w:ilvl w:val="0"/>
                <w:numId w:val="10"/>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Data points for Austria &amp; Australia are clustered in the mid-range, showing balanced performance with moderate arrivals generating moderate income.</w:t>
            </w:r>
          </w:p>
          <w:p w14:paraId="36453AE3" w14:textId="71F91605" w:rsidR="00EE133B" w:rsidRPr="00905D9B" w:rsidRDefault="00EE133B" w:rsidP="001B25BF">
            <w:pPr>
              <w:pStyle w:val="ListParagraph"/>
              <w:numPr>
                <w:ilvl w:val="0"/>
                <w:numId w:val="10"/>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Shows high volume but lower per-tourist revenue model.</w:t>
            </w:r>
          </w:p>
        </w:tc>
      </w:tr>
      <w:tr w:rsidR="003C5389" w:rsidRPr="00905D9B" w14:paraId="68FD1889" w14:textId="77777777" w:rsidTr="001B25BF">
        <w:tc>
          <w:tcPr>
            <w:tcW w:w="3238" w:type="dxa"/>
          </w:tcPr>
          <w:p w14:paraId="2F55BC9B" w14:textId="77777777" w:rsidR="00F65B1E" w:rsidRDefault="009421C4" w:rsidP="00EE133B">
            <w:pPr>
              <w:pStyle w:val="ListParagraph"/>
              <w:numPr>
                <w:ilvl w:val="0"/>
                <w:numId w:val="22"/>
              </w:numPr>
              <w:rPr>
                <w:rFonts w:ascii="Times New Roman" w:hAnsi="Times New Roman" w:cs="Times New Roman"/>
                <w:b/>
                <w:bCs/>
                <w:sz w:val="24"/>
                <w:szCs w:val="24"/>
              </w:rPr>
            </w:pPr>
            <w:r w:rsidRPr="00EE133B">
              <w:rPr>
                <w:rFonts w:ascii="Times New Roman" w:hAnsi="Times New Roman" w:cs="Times New Roman"/>
                <w:b/>
                <w:bCs/>
                <w:sz w:val="24"/>
                <w:szCs w:val="24"/>
              </w:rPr>
              <w:t>Unemployment distribution</w:t>
            </w:r>
          </w:p>
          <w:p w14:paraId="2D4E5AD8" w14:textId="77777777" w:rsidR="00EE133B" w:rsidRDefault="00EE133B" w:rsidP="00EE133B">
            <w:pPr>
              <w:pStyle w:val="ListParagraph"/>
              <w:numPr>
                <w:ilvl w:val="0"/>
                <w:numId w:val="23"/>
              </w:numPr>
              <w:rPr>
                <w:rFonts w:ascii="Times New Roman" w:hAnsi="Times New Roman" w:cs="Times New Roman"/>
                <w:sz w:val="24"/>
                <w:szCs w:val="24"/>
              </w:rPr>
            </w:pPr>
            <w:r w:rsidRPr="00EE133B">
              <w:rPr>
                <w:rFonts w:ascii="Times New Roman" w:hAnsi="Times New Roman" w:cs="Times New Roman"/>
                <w:sz w:val="24"/>
                <w:szCs w:val="24"/>
              </w:rPr>
              <w:t>To find the country with the highest unemployment rate among selected countries.</w:t>
            </w:r>
          </w:p>
          <w:p w14:paraId="48855857" w14:textId="44425619" w:rsidR="00EE133B" w:rsidRPr="00EE133B" w:rsidRDefault="00EE133B" w:rsidP="00EE133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To understand unemployment share distribution.</w:t>
            </w:r>
          </w:p>
        </w:tc>
        <w:tc>
          <w:tcPr>
            <w:tcW w:w="8181" w:type="dxa"/>
          </w:tcPr>
          <w:p w14:paraId="7394D3EF" w14:textId="4921BC65" w:rsidR="00FF331F" w:rsidRDefault="00FF331F" w:rsidP="008561A2">
            <w:pPr>
              <w:rPr>
                <w:rFonts w:ascii="Times New Roman" w:hAnsi="Times New Roman" w:cs="Times New Roman"/>
                <w:sz w:val="24"/>
                <w:szCs w:val="24"/>
                <w:u w:val="single"/>
              </w:rPr>
            </w:pPr>
            <w:r>
              <w:rPr>
                <w:noProof/>
              </w:rPr>
              <w:drawing>
                <wp:anchor distT="0" distB="0" distL="114300" distR="114300" simplePos="0" relativeHeight="251660288" behindDoc="0" locked="0" layoutInCell="1" allowOverlap="1" wp14:anchorId="2E8A96BD" wp14:editId="3A23AE29">
                  <wp:simplePos x="0" y="0"/>
                  <wp:positionH relativeFrom="column">
                    <wp:posOffset>451485</wp:posOffset>
                  </wp:positionH>
                  <wp:positionV relativeFrom="paragraph">
                    <wp:posOffset>55880</wp:posOffset>
                  </wp:positionV>
                  <wp:extent cx="4259580" cy="2194560"/>
                  <wp:effectExtent l="0" t="0" r="7620" b="15240"/>
                  <wp:wrapTopAndBottom/>
                  <wp:docPr id="1696541357" name="Chart 1">
                    <a:extLst xmlns:a="http://schemas.openxmlformats.org/drawingml/2006/main">
                      <a:ext uri="{FF2B5EF4-FFF2-40B4-BE49-F238E27FC236}">
                        <a16:creationId xmlns:a16="http://schemas.microsoft.com/office/drawing/2014/main" id="{D8835237-899F-4747-B69E-587686D6A1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2B9A1AEC" w14:textId="77777777" w:rsidR="00BB4D7B" w:rsidRDefault="00BB4D7B" w:rsidP="008561A2">
            <w:pPr>
              <w:rPr>
                <w:rFonts w:ascii="Times New Roman" w:hAnsi="Times New Roman" w:cs="Times New Roman"/>
                <w:sz w:val="24"/>
                <w:szCs w:val="24"/>
                <w:u w:val="single"/>
              </w:rPr>
            </w:pPr>
          </w:p>
          <w:p w14:paraId="62C0EF84" w14:textId="6A21E174" w:rsidR="00B95CFE" w:rsidRPr="009421C4" w:rsidRDefault="00FF331F" w:rsidP="008561A2">
            <w:pPr>
              <w:rPr>
                <w:rFonts w:ascii="Times New Roman" w:hAnsi="Times New Roman" w:cs="Times New Roman"/>
                <w:sz w:val="24"/>
                <w:szCs w:val="24"/>
                <w:u w:val="single"/>
              </w:rPr>
            </w:pPr>
            <w:r w:rsidRPr="008561A2">
              <w:rPr>
                <w:rFonts w:ascii="Times New Roman" w:hAnsi="Times New Roman" w:cs="Times New Roman"/>
                <w:sz w:val="24"/>
                <w:szCs w:val="24"/>
                <w:u w:val="single"/>
              </w:rPr>
              <w:lastRenderedPageBreak/>
              <w:t>Tools/Techniques</w:t>
            </w:r>
            <w:r w:rsidRPr="00905D9B">
              <w:rPr>
                <w:rFonts w:ascii="Times New Roman" w:hAnsi="Times New Roman" w:cs="Times New Roman"/>
                <w:sz w:val="24"/>
                <w:szCs w:val="24"/>
              </w:rPr>
              <w:t xml:space="preserve">: </w:t>
            </w:r>
            <w:r w:rsidR="008B6532">
              <w:rPr>
                <w:rFonts w:ascii="Times New Roman" w:hAnsi="Times New Roman" w:cs="Times New Roman"/>
                <w:sz w:val="24"/>
                <w:szCs w:val="24"/>
              </w:rPr>
              <w:t>Pie Chart, Percentage Calculation, Data Labelling</w:t>
            </w:r>
            <w:r w:rsidR="00D17C0D">
              <w:rPr>
                <w:rFonts w:ascii="Times New Roman" w:hAnsi="Times New Roman" w:cs="Times New Roman"/>
                <w:sz w:val="24"/>
                <w:szCs w:val="24"/>
              </w:rPr>
              <w:t xml:space="preserve">, </w:t>
            </w:r>
            <w:proofErr w:type="spellStart"/>
            <w:r w:rsidR="00D17C0D">
              <w:rPr>
                <w:rFonts w:ascii="Times New Roman" w:hAnsi="Times New Roman" w:cs="Times New Roman"/>
                <w:sz w:val="24"/>
                <w:szCs w:val="24"/>
              </w:rPr>
              <w:t>Color</w:t>
            </w:r>
            <w:proofErr w:type="spellEnd"/>
            <w:r w:rsidR="00D17C0D">
              <w:rPr>
                <w:rFonts w:ascii="Times New Roman" w:hAnsi="Times New Roman" w:cs="Times New Roman"/>
                <w:sz w:val="24"/>
                <w:szCs w:val="24"/>
              </w:rPr>
              <w:t xml:space="preserve"> coding for comparison.</w:t>
            </w:r>
          </w:p>
        </w:tc>
        <w:tc>
          <w:tcPr>
            <w:tcW w:w="4050" w:type="dxa"/>
          </w:tcPr>
          <w:p w14:paraId="4234DBFB" w14:textId="77777777" w:rsidR="00EE133B" w:rsidRDefault="00EE133B" w:rsidP="00EE133B">
            <w:pPr>
              <w:pStyle w:val="ListParagraph"/>
              <w:rPr>
                <w:rFonts w:ascii="Times New Roman" w:eastAsia="Times New Roman" w:hAnsi="Times New Roman" w:cs="Times New Roman"/>
                <w:sz w:val="24"/>
                <w:szCs w:val="24"/>
                <w:lang w:eastAsia="en-IN"/>
              </w:rPr>
            </w:pPr>
          </w:p>
          <w:p w14:paraId="6DF8C827" w14:textId="77777777" w:rsidR="008561A2" w:rsidRDefault="00EE133B" w:rsidP="00BB4D7B">
            <w:pPr>
              <w:pStyle w:val="ListParagraph"/>
              <w:numPr>
                <w:ilvl w:val="0"/>
                <w:numId w:val="12"/>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Armenia has the highest unemployment at 19.62%, followed by </w:t>
            </w:r>
            <w:proofErr w:type="gramStart"/>
            <w:r>
              <w:rPr>
                <w:rFonts w:ascii="Times New Roman" w:eastAsia="Times New Roman" w:hAnsi="Times New Roman" w:cs="Times New Roman"/>
                <w:sz w:val="24"/>
                <w:szCs w:val="24"/>
                <w:lang w:eastAsia="en-IN"/>
              </w:rPr>
              <w:t>Argentina(</w:t>
            </w:r>
            <w:proofErr w:type="gramEnd"/>
            <w:r>
              <w:rPr>
                <w:rFonts w:ascii="Times New Roman" w:eastAsia="Times New Roman" w:hAnsi="Times New Roman" w:cs="Times New Roman"/>
                <w:sz w:val="24"/>
                <w:szCs w:val="24"/>
                <w:lang w:eastAsia="en-IN"/>
              </w:rPr>
              <w:t>10.76%)</w:t>
            </w:r>
          </w:p>
          <w:p w14:paraId="5C750A53" w14:textId="0CC5183F" w:rsidR="00BB4D7B" w:rsidRPr="00BB4D7B" w:rsidRDefault="00EE133B" w:rsidP="00BB4D7B">
            <w:pPr>
              <w:pStyle w:val="ListParagraph"/>
              <w:jc w:val="both"/>
              <w:rPr>
                <w:rFonts w:ascii="Times New Roman" w:eastAsia="Times New Roman" w:hAnsi="Times New Roman" w:cs="Times New Roman"/>
                <w:sz w:val="24"/>
                <w:szCs w:val="24"/>
                <w:lang w:eastAsia="en-IN"/>
              </w:rPr>
            </w:pPr>
            <w:r w:rsidRPr="00BB4D7B">
              <w:rPr>
                <w:rFonts w:ascii="Times New Roman" w:eastAsia="Times New Roman" w:hAnsi="Times New Roman" w:cs="Times New Roman"/>
                <w:sz w:val="24"/>
                <w:szCs w:val="24"/>
                <w:lang w:eastAsia="en-IN"/>
              </w:rPr>
              <w:t xml:space="preserve">&amp; the Arab </w:t>
            </w:r>
            <w:proofErr w:type="gramStart"/>
            <w:r w:rsidRPr="00BB4D7B">
              <w:rPr>
                <w:rFonts w:ascii="Times New Roman" w:eastAsia="Times New Roman" w:hAnsi="Times New Roman" w:cs="Times New Roman"/>
                <w:sz w:val="24"/>
                <w:szCs w:val="24"/>
                <w:lang w:eastAsia="en-IN"/>
              </w:rPr>
              <w:t>World(</w:t>
            </w:r>
            <w:proofErr w:type="gramEnd"/>
            <w:r w:rsidRPr="00BB4D7B">
              <w:rPr>
                <w:rFonts w:ascii="Times New Roman" w:eastAsia="Times New Roman" w:hAnsi="Times New Roman" w:cs="Times New Roman"/>
                <w:sz w:val="24"/>
                <w:szCs w:val="24"/>
                <w:lang w:eastAsia="en-IN"/>
              </w:rPr>
              <w:t>10.07%).</w:t>
            </w:r>
          </w:p>
          <w:p w14:paraId="40A56164" w14:textId="38206DCF" w:rsidR="00BB4D7B" w:rsidRPr="00BB4D7B" w:rsidRDefault="00EE133B" w:rsidP="00BB4D7B">
            <w:pPr>
              <w:pStyle w:val="ListParagraph"/>
              <w:numPr>
                <w:ilvl w:val="0"/>
                <w:numId w:val="26"/>
              </w:numPr>
              <w:jc w:val="both"/>
              <w:rPr>
                <w:rFonts w:ascii="Times New Roman" w:eastAsia="Times New Roman" w:hAnsi="Times New Roman" w:cs="Times New Roman"/>
                <w:sz w:val="24"/>
                <w:szCs w:val="24"/>
                <w:lang w:eastAsia="en-IN"/>
              </w:rPr>
            </w:pPr>
            <w:r w:rsidRPr="00BB4D7B">
              <w:rPr>
                <w:rFonts w:ascii="Times New Roman" w:eastAsia="Times New Roman" w:hAnsi="Times New Roman" w:cs="Times New Roman"/>
                <w:sz w:val="24"/>
                <w:szCs w:val="24"/>
                <w:lang w:eastAsia="en-IN"/>
              </w:rPr>
              <w:t xml:space="preserve">This </w:t>
            </w:r>
            <w:r w:rsidR="00BB4D7B" w:rsidRPr="00BB4D7B">
              <w:rPr>
                <w:rFonts w:ascii="Times New Roman" w:eastAsia="Times New Roman" w:hAnsi="Times New Roman" w:cs="Times New Roman"/>
                <w:sz w:val="24"/>
                <w:szCs w:val="24"/>
                <w:lang w:eastAsia="en-IN"/>
              </w:rPr>
              <w:t>suggests</w:t>
            </w:r>
            <w:r w:rsidRPr="00BB4D7B">
              <w:rPr>
                <w:rFonts w:ascii="Times New Roman" w:eastAsia="Times New Roman" w:hAnsi="Times New Roman" w:cs="Times New Roman"/>
                <w:sz w:val="24"/>
                <w:szCs w:val="24"/>
                <w:lang w:eastAsia="en-IN"/>
              </w:rPr>
              <w:t xml:space="preserve"> tourism dependency does</w:t>
            </w:r>
            <w:r w:rsidR="00BB4D7B" w:rsidRPr="00BB4D7B">
              <w:rPr>
                <w:rFonts w:ascii="Times New Roman" w:eastAsia="Times New Roman" w:hAnsi="Times New Roman" w:cs="Times New Roman"/>
                <w:sz w:val="24"/>
                <w:szCs w:val="24"/>
                <w:lang w:eastAsia="en-IN"/>
              </w:rPr>
              <w:t xml:space="preserve"> not </w:t>
            </w:r>
            <w:r w:rsidRPr="00BB4D7B">
              <w:rPr>
                <w:rFonts w:ascii="Times New Roman" w:eastAsia="Times New Roman" w:hAnsi="Times New Roman" w:cs="Times New Roman"/>
                <w:sz w:val="24"/>
                <w:szCs w:val="24"/>
                <w:lang w:eastAsia="en-IN"/>
              </w:rPr>
              <w:t>directly</w:t>
            </w:r>
            <w:r w:rsidR="00BB4D7B" w:rsidRPr="00BB4D7B">
              <w:rPr>
                <w:rFonts w:ascii="Times New Roman" w:eastAsia="Times New Roman" w:hAnsi="Times New Roman" w:cs="Times New Roman"/>
                <w:sz w:val="24"/>
                <w:szCs w:val="24"/>
                <w:lang w:eastAsia="en-IN"/>
              </w:rPr>
              <w:t xml:space="preserve"> reduce unemployment – focused economic policies needed.</w:t>
            </w:r>
            <w:r w:rsidRPr="00BB4D7B">
              <w:rPr>
                <w:rFonts w:ascii="Times New Roman" w:eastAsia="Times New Roman" w:hAnsi="Times New Roman" w:cs="Times New Roman"/>
                <w:sz w:val="24"/>
                <w:szCs w:val="24"/>
                <w:lang w:eastAsia="en-IN"/>
              </w:rPr>
              <w:t xml:space="preserve"> </w:t>
            </w:r>
          </w:p>
          <w:p w14:paraId="1A834E66" w14:textId="77777777" w:rsidR="00BB4D7B" w:rsidRDefault="00BB4D7B" w:rsidP="00BB4D7B">
            <w:pPr>
              <w:pStyle w:val="ListParagraph"/>
              <w:numPr>
                <w:ilvl w:val="0"/>
                <w:numId w:val="26"/>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Belgium has the lowest unemployment at 2.46%, showing a strong economy and job stability.</w:t>
            </w:r>
          </w:p>
          <w:p w14:paraId="580C6808" w14:textId="77777777" w:rsidR="00BB4D7B" w:rsidRDefault="00BB4D7B" w:rsidP="00BB4D7B">
            <w:pPr>
              <w:pStyle w:val="ListParagraph"/>
              <w:numPr>
                <w:ilvl w:val="0"/>
                <w:numId w:val="26"/>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Large </w:t>
            </w:r>
            <w:proofErr w:type="gramStart"/>
            <w:r>
              <w:rPr>
                <w:rFonts w:ascii="Times New Roman" w:eastAsia="Times New Roman" w:hAnsi="Times New Roman" w:cs="Times New Roman"/>
                <w:sz w:val="24"/>
                <w:szCs w:val="24"/>
                <w:lang w:eastAsia="en-IN"/>
              </w:rPr>
              <w:t>difference(</w:t>
            </w:r>
            <w:proofErr w:type="gramEnd"/>
            <w:r>
              <w:rPr>
                <w:rFonts w:ascii="Times New Roman" w:eastAsia="Times New Roman" w:hAnsi="Times New Roman" w:cs="Times New Roman"/>
                <w:sz w:val="24"/>
                <w:szCs w:val="24"/>
                <w:lang w:eastAsia="en-IN"/>
              </w:rPr>
              <w:t xml:space="preserve">16.78%) between highest &amp; lowest shows </w:t>
            </w:r>
            <w:r>
              <w:rPr>
                <w:rFonts w:ascii="Times New Roman" w:eastAsia="Times New Roman" w:hAnsi="Times New Roman" w:cs="Times New Roman"/>
                <w:sz w:val="24"/>
                <w:szCs w:val="24"/>
                <w:lang w:eastAsia="en-IN"/>
              </w:rPr>
              <w:lastRenderedPageBreak/>
              <w:t>unemployment is unevenly distributed among selected countries.</w:t>
            </w:r>
          </w:p>
          <w:p w14:paraId="7B50E20D" w14:textId="5CEF49FF" w:rsidR="00D17C0D" w:rsidRPr="00BB4D7B" w:rsidRDefault="00D17C0D" w:rsidP="00D17C0D">
            <w:pPr>
              <w:pStyle w:val="ListParagraph"/>
              <w:jc w:val="both"/>
              <w:rPr>
                <w:rFonts w:ascii="Times New Roman" w:eastAsia="Times New Roman" w:hAnsi="Times New Roman" w:cs="Times New Roman"/>
                <w:sz w:val="24"/>
                <w:szCs w:val="24"/>
                <w:lang w:eastAsia="en-IN"/>
              </w:rPr>
            </w:pPr>
          </w:p>
        </w:tc>
      </w:tr>
      <w:tr w:rsidR="003C5389" w:rsidRPr="00905D9B" w14:paraId="14F5F730" w14:textId="77777777" w:rsidTr="001B25BF">
        <w:tc>
          <w:tcPr>
            <w:tcW w:w="3238" w:type="dxa"/>
          </w:tcPr>
          <w:p w14:paraId="0CB148CC" w14:textId="77777777" w:rsidR="003C5389" w:rsidRDefault="00CE26C8" w:rsidP="00EE133B">
            <w:pPr>
              <w:pStyle w:val="ListParagraph"/>
              <w:numPr>
                <w:ilvl w:val="0"/>
                <w:numId w:val="22"/>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Global </w:t>
            </w:r>
            <w:proofErr w:type="gramStart"/>
            <w:r>
              <w:rPr>
                <w:rFonts w:ascii="Times New Roman" w:hAnsi="Times New Roman" w:cs="Times New Roman"/>
                <w:b/>
                <w:bCs/>
                <w:sz w:val="24"/>
                <w:szCs w:val="24"/>
              </w:rPr>
              <w:t>Tourism :</w:t>
            </w:r>
            <w:proofErr w:type="gramEnd"/>
            <w:r>
              <w:rPr>
                <w:rFonts w:ascii="Times New Roman" w:hAnsi="Times New Roman" w:cs="Times New Roman"/>
                <w:b/>
                <w:bCs/>
                <w:sz w:val="24"/>
                <w:szCs w:val="24"/>
              </w:rPr>
              <w:t xml:space="preserve"> </w:t>
            </w:r>
          </w:p>
          <w:p w14:paraId="07412946" w14:textId="77777777" w:rsidR="00CE26C8" w:rsidRDefault="00CE26C8" w:rsidP="00CE26C8">
            <w:pPr>
              <w:pStyle w:val="ListParagraph"/>
              <w:rPr>
                <w:rFonts w:ascii="Times New Roman" w:hAnsi="Times New Roman" w:cs="Times New Roman"/>
                <w:b/>
                <w:bCs/>
                <w:sz w:val="24"/>
                <w:szCs w:val="24"/>
              </w:rPr>
            </w:pPr>
            <w:r>
              <w:rPr>
                <w:rFonts w:ascii="Times New Roman" w:hAnsi="Times New Roman" w:cs="Times New Roman"/>
                <w:b/>
                <w:bCs/>
                <w:sz w:val="24"/>
                <w:szCs w:val="24"/>
              </w:rPr>
              <w:t>Income vs Spending</w:t>
            </w:r>
          </w:p>
          <w:p w14:paraId="7C579491" w14:textId="77777777" w:rsidR="00BB4D7B" w:rsidRDefault="00BB4D7B" w:rsidP="00BB4D7B">
            <w:pPr>
              <w:pStyle w:val="ListParagraph"/>
              <w:numPr>
                <w:ilvl w:val="0"/>
                <w:numId w:val="29"/>
              </w:numPr>
              <w:rPr>
                <w:rFonts w:ascii="Times New Roman" w:hAnsi="Times New Roman" w:cs="Times New Roman"/>
                <w:sz w:val="24"/>
                <w:szCs w:val="24"/>
              </w:rPr>
            </w:pPr>
            <w:r w:rsidRPr="00BB4D7B">
              <w:rPr>
                <w:rFonts w:ascii="Times New Roman" w:hAnsi="Times New Roman" w:cs="Times New Roman"/>
                <w:sz w:val="24"/>
                <w:szCs w:val="24"/>
              </w:rPr>
              <w:t>To track year-wise contribution of Global tourism income and spending.</w:t>
            </w:r>
          </w:p>
          <w:p w14:paraId="34500771" w14:textId="62A8D19F" w:rsidR="00BB4D7B" w:rsidRPr="00BB4D7B" w:rsidRDefault="00BB4D7B" w:rsidP="00BB4D7B">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To identify the growth pattern and peak year of the tourism economy</w:t>
            </w:r>
          </w:p>
        </w:tc>
        <w:tc>
          <w:tcPr>
            <w:tcW w:w="8181" w:type="dxa"/>
          </w:tcPr>
          <w:p w14:paraId="2B015A47" w14:textId="081A5533" w:rsidR="009421C4" w:rsidRDefault="009421C4" w:rsidP="008561A2">
            <w:pPr>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194FB438" wp14:editId="6D15F434">
                  <wp:simplePos x="0" y="0"/>
                  <wp:positionH relativeFrom="column">
                    <wp:posOffset>230505</wp:posOffset>
                  </wp:positionH>
                  <wp:positionV relativeFrom="paragraph">
                    <wp:posOffset>176530</wp:posOffset>
                  </wp:positionV>
                  <wp:extent cx="4709160" cy="2315845"/>
                  <wp:effectExtent l="0" t="0" r="15240" b="8255"/>
                  <wp:wrapTopAndBottom/>
                  <wp:docPr id="1142082423" name="Chart 1">
                    <a:extLst xmlns:a="http://schemas.openxmlformats.org/drawingml/2006/main">
                      <a:ext uri="{FF2B5EF4-FFF2-40B4-BE49-F238E27FC236}">
                        <a16:creationId xmlns:a16="http://schemas.microsoft.com/office/drawing/2014/main" id="{5743A708-6E17-4117-8859-15FB9437AB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56AC4351" w14:textId="77777777" w:rsidR="009421C4" w:rsidRPr="00905D9B" w:rsidRDefault="009421C4" w:rsidP="008561A2">
            <w:pPr>
              <w:rPr>
                <w:rFonts w:ascii="Times New Roman" w:hAnsi="Times New Roman" w:cs="Times New Roman"/>
                <w:sz w:val="24"/>
                <w:szCs w:val="24"/>
              </w:rPr>
            </w:pPr>
          </w:p>
          <w:p w14:paraId="61D9731B" w14:textId="72A936BE" w:rsidR="003C5389" w:rsidRPr="00905D9B" w:rsidRDefault="008561A2" w:rsidP="008561A2">
            <w:pPr>
              <w:rPr>
                <w:rFonts w:ascii="Times New Roman" w:hAnsi="Times New Roman" w:cs="Times New Roman"/>
                <w:sz w:val="24"/>
                <w:szCs w:val="24"/>
              </w:rPr>
            </w:pPr>
            <w:r w:rsidRPr="008561A2">
              <w:rPr>
                <w:rFonts w:ascii="Times New Roman" w:hAnsi="Times New Roman" w:cs="Times New Roman"/>
                <w:sz w:val="24"/>
                <w:szCs w:val="24"/>
                <w:u w:val="single"/>
              </w:rPr>
              <w:t>Tools/Techniques</w:t>
            </w:r>
            <w:r w:rsidR="001A637F" w:rsidRPr="00905D9B">
              <w:rPr>
                <w:rFonts w:ascii="Times New Roman" w:hAnsi="Times New Roman" w:cs="Times New Roman"/>
                <w:sz w:val="24"/>
                <w:szCs w:val="24"/>
              </w:rPr>
              <w:t xml:space="preserve">: </w:t>
            </w:r>
            <w:r w:rsidR="00D17C0D">
              <w:rPr>
                <w:rFonts w:ascii="Times New Roman" w:hAnsi="Times New Roman" w:cs="Times New Roman"/>
                <w:sz w:val="24"/>
                <w:szCs w:val="24"/>
              </w:rPr>
              <w:t xml:space="preserve">Double </w:t>
            </w:r>
            <w:r w:rsidR="008B6532">
              <w:rPr>
                <w:rFonts w:ascii="Times New Roman" w:hAnsi="Times New Roman" w:cs="Times New Roman"/>
                <w:sz w:val="24"/>
                <w:szCs w:val="24"/>
              </w:rPr>
              <w:t>Doughnut Chart</w:t>
            </w:r>
            <w:r w:rsidR="00D17C0D">
              <w:rPr>
                <w:rFonts w:ascii="Times New Roman" w:hAnsi="Times New Roman" w:cs="Times New Roman"/>
                <w:sz w:val="24"/>
                <w:szCs w:val="24"/>
              </w:rPr>
              <w:t>, Percentage share calculation, year-wise grouping</w:t>
            </w:r>
          </w:p>
        </w:tc>
        <w:tc>
          <w:tcPr>
            <w:tcW w:w="4050" w:type="dxa"/>
          </w:tcPr>
          <w:p w14:paraId="0DE7C55B" w14:textId="77777777" w:rsidR="003C5389" w:rsidRDefault="003C5389" w:rsidP="00BB4D7B">
            <w:pPr>
              <w:rPr>
                <w:rFonts w:ascii="Times New Roman" w:hAnsi="Times New Roman" w:cs="Times New Roman"/>
                <w:sz w:val="24"/>
                <w:szCs w:val="24"/>
              </w:rPr>
            </w:pPr>
          </w:p>
          <w:p w14:paraId="675A5465" w14:textId="6ECB85F2" w:rsidR="00D129A3" w:rsidRDefault="00BB4D7B" w:rsidP="00D129A3">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Peak year is 2017 – In 2017</w:t>
            </w:r>
            <w:r w:rsidR="00D129A3">
              <w:rPr>
                <w:rFonts w:ascii="Times New Roman" w:hAnsi="Times New Roman" w:cs="Times New Roman"/>
                <w:sz w:val="24"/>
                <w:szCs w:val="24"/>
              </w:rPr>
              <w:t>,</w:t>
            </w:r>
            <w:r>
              <w:rPr>
                <w:rFonts w:ascii="Times New Roman" w:hAnsi="Times New Roman" w:cs="Times New Roman"/>
                <w:sz w:val="24"/>
                <w:szCs w:val="24"/>
              </w:rPr>
              <w:t xml:space="preserve"> both income (28%) and spending </w:t>
            </w:r>
            <w:proofErr w:type="gramStart"/>
            <w:r>
              <w:rPr>
                <w:rFonts w:ascii="Times New Roman" w:hAnsi="Times New Roman" w:cs="Times New Roman"/>
                <w:sz w:val="24"/>
                <w:szCs w:val="24"/>
              </w:rPr>
              <w:t>( 21</w:t>
            </w:r>
            <w:proofErr w:type="gramEnd"/>
            <w:r>
              <w:rPr>
                <w:rFonts w:ascii="Times New Roman" w:hAnsi="Times New Roman" w:cs="Times New Roman"/>
                <w:sz w:val="24"/>
                <w:szCs w:val="24"/>
              </w:rPr>
              <w:t>%) are highest</w:t>
            </w:r>
            <w:r w:rsidR="00D129A3">
              <w:rPr>
                <w:rFonts w:ascii="Times New Roman" w:hAnsi="Times New Roman" w:cs="Times New Roman"/>
                <w:sz w:val="24"/>
                <w:szCs w:val="24"/>
              </w:rPr>
              <w:t>.</w:t>
            </w:r>
          </w:p>
          <w:p w14:paraId="4446AD45" w14:textId="3EB9890D" w:rsidR="00D129A3" w:rsidRDefault="00D129A3" w:rsidP="00D129A3">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This means the global tourism economy was at its peak in 2017.</w:t>
            </w:r>
          </w:p>
          <w:p w14:paraId="1C7A54B0" w14:textId="77777777" w:rsidR="00D129A3" w:rsidRDefault="00D129A3" w:rsidP="00D129A3">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In 2015 &amp; 2017, income </w:t>
            </w:r>
            <w:proofErr w:type="gramStart"/>
            <w:r>
              <w:rPr>
                <w:rFonts w:ascii="Times New Roman" w:hAnsi="Times New Roman" w:cs="Times New Roman"/>
                <w:sz w:val="24"/>
                <w:szCs w:val="24"/>
              </w:rPr>
              <w:t>share(</w:t>
            </w:r>
            <w:proofErr w:type="gramEnd"/>
            <w:r>
              <w:rPr>
                <w:rFonts w:ascii="Times New Roman" w:hAnsi="Times New Roman" w:cs="Times New Roman"/>
                <w:sz w:val="24"/>
                <w:szCs w:val="24"/>
              </w:rPr>
              <w:t xml:space="preserve">24% &amp; 28%) is more than spending </w:t>
            </w:r>
            <w:proofErr w:type="gramStart"/>
            <w:r>
              <w:rPr>
                <w:rFonts w:ascii="Times New Roman" w:hAnsi="Times New Roman" w:cs="Times New Roman"/>
                <w:sz w:val="24"/>
                <w:szCs w:val="24"/>
              </w:rPr>
              <w:t>share(</w:t>
            </w:r>
            <w:proofErr w:type="gramEnd"/>
            <w:r>
              <w:rPr>
                <w:rFonts w:ascii="Times New Roman" w:hAnsi="Times New Roman" w:cs="Times New Roman"/>
                <w:sz w:val="24"/>
                <w:szCs w:val="24"/>
              </w:rPr>
              <w:t>21% &amp; 21%),</w:t>
            </w:r>
          </w:p>
          <w:p w14:paraId="5D621886" w14:textId="77777777" w:rsidR="00D129A3" w:rsidRDefault="00D129A3" w:rsidP="00D129A3">
            <w:pPr>
              <w:pStyle w:val="ListParagraph"/>
              <w:jc w:val="both"/>
              <w:rPr>
                <w:rFonts w:ascii="Times New Roman" w:hAnsi="Times New Roman" w:cs="Times New Roman"/>
                <w:sz w:val="24"/>
                <w:szCs w:val="24"/>
              </w:rPr>
            </w:pPr>
            <w:r>
              <w:rPr>
                <w:rFonts w:ascii="Times New Roman" w:hAnsi="Times New Roman" w:cs="Times New Roman"/>
                <w:sz w:val="24"/>
                <w:szCs w:val="24"/>
              </w:rPr>
              <w:t>showing tourism became more profitable.</w:t>
            </w:r>
          </w:p>
          <w:p w14:paraId="20F121B4" w14:textId="602E0008" w:rsidR="00D129A3" w:rsidRDefault="00D129A3" w:rsidP="00D129A3">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The lowest contribution in 2001 shows only 45 income and 11% spending, the lowest income year due to maybe global factors like the 9/11 impact on travel.</w:t>
            </w:r>
          </w:p>
          <w:p w14:paraId="37D74EC5" w14:textId="77777777" w:rsidR="00D129A3" w:rsidRDefault="00D129A3" w:rsidP="00D129A3">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Recovery after 2008 – After 2008 </w:t>
            </w:r>
            <w:proofErr w:type="gramStart"/>
            <w:r>
              <w:rPr>
                <w:rFonts w:ascii="Times New Roman" w:hAnsi="Times New Roman" w:cs="Times New Roman"/>
                <w:sz w:val="24"/>
                <w:szCs w:val="24"/>
              </w:rPr>
              <w:t>( Income</w:t>
            </w:r>
            <w:proofErr w:type="gramEnd"/>
            <w:r>
              <w:rPr>
                <w:rFonts w:ascii="Times New Roman" w:hAnsi="Times New Roman" w:cs="Times New Roman"/>
                <w:sz w:val="24"/>
                <w:szCs w:val="24"/>
              </w:rPr>
              <w:t xml:space="preserve"> 16%, Spending 14%), both Income &amp; Spending dipped but recovered strongly in 2010(16% &amp; 15%) and </w:t>
            </w:r>
            <w:r w:rsidRPr="00D129A3">
              <w:rPr>
                <w:rFonts w:ascii="Times New Roman" w:hAnsi="Times New Roman" w:cs="Times New Roman"/>
                <w:sz w:val="24"/>
                <w:szCs w:val="24"/>
              </w:rPr>
              <w:t>jumped to 24%/21% in 2015.</w:t>
            </w:r>
          </w:p>
          <w:p w14:paraId="1FFEABB8" w14:textId="77777777" w:rsidR="00D129A3" w:rsidRDefault="00D129A3" w:rsidP="00D129A3">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There is steady growth where income increased from 5% to 28%, almost 5 times growth in 17 years.</w:t>
            </w:r>
          </w:p>
          <w:p w14:paraId="4EC27456" w14:textId="68BD82C6" w:rsidR="000610F2" w:rsidRPr="00D129A3" w:rsidRDefault="000610F2" w:rsidP="000610F2">
            <w:pPr>
              <w:pStyle w:val="ListParagraph"/>
              <w:jc w:val="both"/>
              <w:rPr>
                <w:rFonts w:ascii="Times New Roman" w:hAnsi="Times New Roman" w:cs="Times New Roman"/>
                <w:sz w:val="24"/>
                <w:szCs w:val="24"/>
              </w:rPr>
            </w:pPr>
          </w:p>
        </w:tc>
      </w:tr>
      <w:tr w:rsidR="009421C4" w:rsidRPr="00905D9B" w14:paraId="32F05F29" w14:textId="77777777" w:rsidTr="001B25BF">
        <w:tc>
          <w:tcPr>
            <w:tcW w:w="3238" w:type="dxa"/>
          </w:tcPr>
          <w:p w14:paraId="26E07F58" w14:textId="77777777" w:rsidR="009421C4" w:rsidRDefault="00CE26C8" w:rsidP="00EE133B">
            <w:pPr>
              <w:pStyle w:val="ListParagraph"/>
              <w:numPr>
                <w:ilvl w:val="0"/>
                <w:numId w:val="22"/>
              </w:numPr>
              <w:rPr>
                <w:rFonts w:ascii="Times New Roman" w:hAnsi="Times New Roman" w:cs="Times New Roman"/>
                <w:b/>
                <w:bCs/>
                <w:sz w:val="24"/>
                <w:szCs w:val="24"/>
              </w:rPr>
            </w:pPr>
            <w:r>
              <w:rPr>
                <w:rFonts w:ascii="Times New Roman" w:hAnsi="Times New Roman" w:cs="Times New Roman"/>
                <w:b/>
                <w:bCs/>
                <w:sz w:val="24"/>
                <w:szCs w:val="24"/>
              </w:rPr>
              <w:lastRenderedPageBreak/>
              <w:t>Tourist arrivals trend by Country</w:t>
            </w:r>
          </w:p>
          <w:p w14:paraId="178846A8" w14:textId="77777777" w:rsidR="00E006C2" w:rsidRDefault="00E006C2" w:rsidP="00E006C2">
            <w:pPr>
              <w:pStyle w:val="ListParagraph"/>
              <w:numPr>
                <w:ilvl w:val="0"/>
                <w:numId w:val="35"/>
              </w:numPr>
              <w:rPr>
                <w:rFonts w:ascii="Times New Roman" w:hAnsi="Times New Roman" w:cs="Times New Roman"/>
                <w:sz w:val="24"/>
                <w:szCs w:val="24"/>
              </w:rPr>
            </w:pPr>
            <w:r w:rsidRPr="00E006C2">
              <w:rPr>
                <w:rFonts w:ascii="Times New Roman" w:hAnsi="Times New Roman" w:cs="Times New Roman"/>
                <w:sz w:val="24"/>
                <w:szCs w:val="24"/>
              </w:rPr>
              <w:t>To compare tourist arrivals trend across different countries over the years.</w:t>
            </w:r>
          </w:p>
          <w:p w14:paraId="101E90C4" w14:textId="07C62039" w:rsidR="00E006C2" w:rsidRPr="00E006C2" w:rsidRDefault="00E006C2" w:rsidP="00E006C2">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To identify the top country attracting the maximum tourists consistently.</w:t>
            </w:r>
          </w:p>
        </w:tc>
        <w:tc>
          <w:tcPr>
            <w:tcW w:w="8181" w:type="dxa"/>
          </w:tcPr>
          <w:p w14:paraId="5BBDE542" w14:textId="13899CF8" w:rsidR="00E006C2" w:rsidRDefault="00E006C2" w:rsidP="008561A2">
            <w:pPr>
              <w:rPr>
                <w:rFonts w:ascii="Times New Roman" w:hAnsi="Times New Roman" w:cs="Times New Roman"/>
                <w:sz w:val="24"/>
                <w:szCs w:val="24"/>
                <w:u w:val="single"/>
              </w:rPr>
            </w:pPr>
            <w:r>
              <w:rPr>
                <w:noProof/>
              </w:rPr>
              <w:drawing>
                <wp:anchor distT="0" distB="0" distL="114300" distR="114300" simplePos="0" relativeHeight="251663360" behindDoc="0" locked="0" layoutInCell="1" allowOverlap="1" wp14:anchorId="7BF98FA6" wp14:editId="3456F62B">
                  <wp:simplePos x="0" y="0"/>
                  <wp:positionH relativeFrom="column">
                    <wp:posOffset>85725</wp:posOffset>
                  </wp:positionH>
                  <wp:positionV relativeFrom="paragraph">
                    <wp:posOffset>182880</wp:posOffset>
                  </wp:positionV>
                  <wp:extent cx="4922520" cy="2171700"/>
                  <wp:effectExtent l="0" t="0" r="11430" b="0"/>
                  <wp:wrapTopAndBottom/>
                  <wp:docPr id="336925024" name="Chart 1">
                    <a:extLst xmlns:a="http://schemas.openxmlformats.org/drawingml/2006/main">
                      <a:ext uri="{FF2B5EF4-FFF2-40B4-BE49-F238E27FC236}">
                        <a16:creationId xmlns:a16="http://schemas.microsoft.com/office/drawing/2014/main" id="{5675C538-3AAB-4DC1-979A-E4E853AE9E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6A80B8BF" w14:textId="0BE4220C" w:rsidR="00E006C2" w:rsidRDefault="00E006C2" w:rsidP="008561A2">
            <w:pPr>
              <w:rPr>
                <w:rFonts w:ascii="Times New Roman" w:hAnsi="Times New Roman" w:cs="Times New Roman"/>
                <w:sz w:val="24"/>
                <w:szCs w:val="24"/>
                <w:u w:val="single"/>
              </w:rPr>
            </w:pPr>
          </w:p>
          <w:p w14:paraId="5CE75104" w14:textId="1A5FDA1A" w:rsidR="009421C4" w:rsidRDefault="009421C4" w:rsidP="008561A2">
            <w:pPr>
              <w:rPr>
                <w:noProof/>
              </w:rPr>
            </w:pPr>
            <w:r w:rsidRPr="008561A2">
              <w:rPr>
                <w:rFonts w:ascii="Times New Roman" w:hAnsi="Times New Roman" w:cs="Times New Roman"/>
                <w:sz w:val="24"/>
                <w:szCs w:val="24"/>
                <w:u w:val="single"/>
              </w:rPr>
              <w:t>Tools/Techniques</w:t>
            </w:r>
            <w:r w:rsidRPr="00905D9B">
              <w:rPr>
                <w:rFonts w:ascii="Times New Roman" w:hAnsi="Times New Roman" w:cs="Times New Roman"/>
                <w:sz w:val="24"/>
                <w:szCs w:val="24"/>
              </w:rPr>
              <w:t xml:space="preserve">: </w:t>
            </w:r>
            <w:r w:rsidR="008B6532">
              <w:rPr>
                <w:rFonts w:ascii="Times New Roman" w:hAnsi="Times New Roman" w:cs="Times New Roman"/>
                <w:sz w:val="24"/>
                <w:szCs w:val="24"/>
              </w:rPr>
              <w:t>Line Chart with Markers</w:t>
            </w:r>
            <w:r w:rsidR="00D17C0D">
              <w:rPr>
                <w:rFonts w:ascii="Times New Roman" w:hAnsi="Times New Roman" w:cs="Times New Roman"/>
                <w:sz w:val="24"/>
                <w:szCs w:val="24"/>
              </w:rPr>
              <w:t xml:space="preserve">, Time series analysis, Growth rate calculation </w:t>
            </w:r>
          </w:p>
          <w:p w14:paraId="5ECA434C" w14:textId="77777777" w:rsidR="009421C4" w:rsidRDefault="009421C4" w:rsidP="008561A2">
            <w:pPr>
              <w:rPr>
                <w:noProof/>
              </w:rPr>
            </w:pPr>
          </w:p>
          <w:p w14:paraId="16E7BBBD" w14:textId="14B29BFA" w:rsidR="009421C4" w:rsidRDefault="009421C4" w:rsidP="008561A2">
            <w:pPr>
              <w:rPr>
                <w:noProof/>
              </w:rPr>
            </w:pPr>
          </w:p>
          <w:p w14:paraId="2A1F8060" w14:textId="2316824A" w:rsidR="009421C4" w:rsidRDefault="009421C4" w:rsidP="008561A2">
            <w:pPr>
              <w:rPr>
                <w:noProof/>
              </w:rPr>
            </w:pPr>
          </w:p>
          <w:p w14:paraId="4F061A22" w14:textId="77777777" w:rsidR="009421C4" w:rsidRDefault="009421C4" w:rsidP="008561A2">
            <w:pPr>
              <w:rPr>
                <w:noProof/>
              </w:rPr>
            </w:pPr>
          </w:p>
          <w:p w14:paraId="0C98A7F4" w14:textId="77777777" w:rsidR="009421C4" w:rsidRDefault="009421C4" w:rsidP="008561A2">
            <w:pPr>
              <w:rPr>
                <w:noProof/>
              </w:rPr>
            </w:pPr>
          </w:p>
          <w:p w14:paraId="7A6C1821" w14:textId="77777777" w:rsidR="009421C4" w:rsidRDefault="009421C4" w:rsidP="008561A2">
            <w:pPr>
              <w:rPr>
                <w:noProof/>
              </w:rPr>
            </w:pPr>
          </w:p>
          <w:p w14:paraId="6F808718" w14:textId="77777777" w:rsidR="009421C4" w:rsidRDefault="009421C4" w:rsidP="008561A2">
            <w:pPr>
              <w:rPr>
                <w:noProof/>
              </w:rPr>
            </w:pPr>
          </w:p>
          <w:p w14:paraId="0D03A197" w14:textId="77777777" w:rsidR="009421C4" w:rsidRDefault="009421C4" w:rsidP="008561A2">
            <w:pPr>
              <w:rPr>
                <w:noProof/>
              </w:rPr>
            </w:pPr>
          </w:p>
          <w:p w14:paraId="38FB289D" w14:textId="77777777" w:rsidR="009421C4" w:rsidRDefault="009421C4" w:rsidP="008561A2">
            <w:pPr>
              <w:rPr>
                <w:noProof/>
              </w:rPr>
            </w:pPr>
          </w:p>
          <w:p w14:paraId="5E7115C8" w14:textId="77777777" w:rsidR="009421C4" w:rsidRDefault="009421C4" w:rsidP="008561A2">
            <w:pPr>
              <w:rPr>
                <w:noProof/>
              </w:rPr>
            </w:pPr>
          </w:p>
          <w:p w14:paraId="2297C726" w14:textId="77777777" w:rsidR="009421C4" w:rsidRDefault="009421C4" w:rsidP="008561A2">
            <w:pPr>
              <w:rPr>
                <w:noProof/>
              </w:rPr>
            </w:pPr>
          </w:p>
          <w:p w14:paraId="5D4D5B25" w14:textId="77777777" w:rsidR="009421C4" w:rsidRDefault="009421C4" w:rsidP="008561A2">
            <w:pPr>
              <w:rPr>
                <w:noProof/>
              </w:rPr>
            </w:pPr>
          </w:p>
          <w:p w14:paraId="6F705729" w14:textId="77777777" w:rsidR="009421C4" w:rsidRDefault="009421C4" w:rsidP="008561A2">
            <w:pPr>
              <w:rPr>
                <w:noProof/>
              </w:rPr>
            </w:pPr>
          </w:p>
          <w:p w14:paraId="1FC19E8A" w14:textId="77777777" w:rsidR="009421C4" w:rsidRDefault="009421C4" w:rsidP="008561A2">
            <w:pPr>
              <w:rPr>
                <w:noProof/>
              </w:rPr>
            </w:pPr>
          </w:p>
          <w:p w14:paraId="3088B87D" w14:textId="77777777" w:rsidR="009421C4" w:rsidRDefault="009421C4" w:rsidP="008561A2">
            <w:pPr>
              <w:rPr>
                <w:noProof/>
              </w:rPr>
            </w:pPr>
          </w:p>
          <w:p w14:paraId="7FA47A34" w14:textId="77777777" w:rsidR="009421C4" w:rsidRDefault="009421C4" w:rsidP="008561A2">
            <w:pPr>
              <w:rPr>
                <w:noProof/>
              </w:rPr>
            </w:pPr>
          </w:p>
        </w:tc>
        <w:tc>
          <w:tcPr>
            <w:tcW w:w="4050" w:type="dxa"/>
          </w:tcPr>
          <w:p w14:paraId="062A648E" w14:textId="77777777" w:rsidR="009421C4" w:rsidRDefault="009421C4" w:rsidP="00E006C2">
            <w:pPr>
              <w:spacing w:before="100" w:beforeAutospacing="1" w:after="100" w:afterAutospacing="1"/>
              <w:rPr>
                <w:rFonts w:ascii="Times New Roman" w:eastAsia="Times New Roman" w:hAnsi="Times New Roman" w:cs="Times New Roman"/>
                <w:b/>
                <w:bCs/>
                <w:sz w:val="24"/>
                <w:szCs w:val="24"/>
                <w:lang w:eastAsia="en-IN"/>
              </w:rPr>
            </w:pPr>
          </w:p>
          <w:p w14:paraId="1D7F3B43" w14:textId="77777777" w:rsidR="00E006C2" w:rsidRDefault="00E006C2" w:rsidP="0013282B">
            <w:pPr>
              <w:pStyle w:val="ListParagraph"/>
              <w:numPr>
                <w:ilvl w:val="0"/>
                <w:numId w:val="37"/>
              </w:numPr>
              <w:spacing w:before="100" w:beforeAutospacing="1" w:after="100" w:afterAutospacing="1"/>
              <w:jc w:val="both"/>
              <w:rPr>
                <w:rFonts w:ascii="Times New Roman" w:eastAsia="Times New Roman" w:hAnsi="Times New Roman" w:cs="Times New Roman"/>
                <w:sz w:val="24"/>
                <w:szCs w:val="24"/>
                <w:lang w:eastAsia="en-IN"/>
              </w:rPr>
            </w:pPr>
            <w:r w:rsidRPr="00E006C2">
              <w:rPr>
                <w:rFonts w:ascii="Times New Roman" w:eastAsia="Times New Roman" w:hAnsi="Times New Roman" w:cs="Times New Roman"/>
                <w:sz w:val="24"/>
                <w:szCs w:val="24"/>
                <w:lang w:eastAsia="en-IN"/>
              </w:rPr>
              <w:t xml:space="preserve">Upward trend – The line is continuously going up from 2000 to 2017, which shows global tourism is growing year by year without a major downfall. </w:t>
            </w:r>
          </w:p>
          <w:p w14:paraId="6CF67838" w14:textId="77777777" w:rsidR="00E006C2" w:rsidRDefault="00E006C2" w:rsidP="0013282B">
            <w:pPr>
              <w:pStyle w:val="ListParagraph"/>
              <w:numPr>
                <w:ilvl w:val="0"/>
                <w:numId w:val="37"/>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Peak in 2017 – The highest point of both lines is in 2017. </w:t>
            </w:r>
            <w:proofErr w:type="gramStart"/>
            <w:r>
              <w:rPr>
                <w:rFonts w:ascii="Times New Roman" w:eastAsia="Times New Roman" w:hAnsi="Times New Roman" w:cs="Times New Roman"/>
                <w:sz w:val="24"/>
                <w:szCs w:val="24"/>
                <w:lang w:eastAsia="en-IN"/>
              </w:rPr>
              <w:t>So</w:t>
            </w:r>
            <w:proofErr w:type="gramEnd"/>
            <w:r>
              <w:rPr>
                <w:rFonts w:ascii="Times New Roman" w:eastAsia="Times New Roman" w:hAnsi="Times New Roman" w:cs="Times New Roman"/>
                <w:sz w:val="24"/>
                <w:szCs w:val="24"/>
                <w:lang w:eastAsia="en-IN"/>
              </w:rPr>
              <w:t xml:space="preserve"> 2017 is the best performing year for tourism.</w:t>
            </w:r>
          </w:p>
          <w:p w14:paraId="7652C6C8" w14:textId="189FCDD8" w:rsidR="00E006C2" w:rsidRDefault="00E006C2" w:rsidP="0013282B">
            <w:pPr>
              <w:pStyle w:val="ListParagraph"/>
              <w:numPr>
                <w:ilvl w:val="0"/>
                <w:numId w:val="37"/>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Slow growth from 2000 – 2005</w:t>
            </w:r>
          </w:p>
          <w:p w14:paraId="2A7323D0" w14:textId="729D298A" w:rsidR="00E006C2" w:rsidRDefault="00E006C2" w:rsidP="0013282B">
            <w:pPr>
              <w:pStyle w:val="ListParagraph"/>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From 2000 to 2005, the line is almost flat/ slow increase</w:t>
            </w:r>
            <w:r w:rsidR="0013282B">
              <w:rPr>
                <w:rFonts w:ascii="Times New Roman" w:eastAsia="Times New Roman" w:hAnsi="Times New Roman" w:cs="Times New Roman"/>
                <w:sz w:val="24"/>
                <w:szCs w:val="24"/>
                <w:lang w:eastAsia="en-IN"/>
              </w:rPr>
              <w:t xml:space="preserve">, meaning growth was slow in </w:t>
            </w:r>
            <w:r w:rsidR="008B6532">
              <w:rPr>
                <w:rFonts w:ascii="Times New Roman" w:eastAsia="Times New Roman" w:hAnsi="Times New Roman" w:cs="Times New Roman"/>
                <w:sz w:val="24"/>
                <w:szCs w:val="24"/>
                <w:lang w:eastAsia="en-IN"/>
              </w:rPr>
              <w:t xml:space="preserve">the </w:t>
            </w:r>
            <w:r w:rsidR="0013282B">
              <w:rPr>
                <w:rFonts w:ascii="Times New Roman" w:eastAsia="Times New Roman" w:hAnsi="Times New Roman" w:cs="Times New Roman"/>
                <w:sz w:val="24"/>
                <w:szCs w:val="24"/>
                <w:lang w:eastAsia="en-IN"/>
              </w:rPr>
              <w:t>initial years.</w:t>
            </w:r>
          </w:p>
          <w:p w14:paraId="0FA67515" w14:textId="140EC450" w:rsidR="008B6532" w:rsidRDefault="008B6532" w:rsidP="008B6532">
            <w:pPr>
              <w:pStyle w:val="ListParagraph"/>
              <w:numPr>
                <w:ilvl w:val="0"/>
                <w:numId w:val="37"/>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Fast growth in 2010: After 2010, the slope becomes very steep, especially from 2010 to 2017.</w:t>
            </w:r>
          </w:p>
          <w:p w14:paraId="7EBC1CDB" w14:textId="2A6F3F30" w:rsidR="008B6532" w:rsidRDefault="008B6532" w:rsidP="008B6532">
            <w:pPr>
              <w:pStyle w:val="ListParagraph"/>
              <w:numPr>
                <w:ilvl w:val="0"/>
                <w:numId w:val="37"/>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shows tourism boomed due to cheaper flights, internet booking, and social media promotion.</w:t>
            </w:r>
          </w:p>
          <w:p w14:paraId="63F11646" w14:textId="52EFBACD" w:rsidR="008B6532" w:rsidRPr="00E006C2" w:rsidRDefault="008B6532" w:rsidP="008B6532">
            <w:pPr>
              <w:pStyle w:val="ListParagraph"/>
              <w:numPr>
                <w:ilvl w:val="0"/>
                <w:numId w:val="37"/>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Income and spending lines move together – Both lines follow the same pattern, proving a direct relationship – when tourist arrivals increase, income and</w:t>
            </w:r>
            <w:r w:rsidR="00223686">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spending both increase together.</w:t>
            </w:r>
          </w:p>
        </w:tc>
      </w:tr>
    </w:tbl>
    <w:p w14:paraId="3C92C176" w14:textId="77777777" w:rsidR="009421C4" w:rsidRPr="009421C4" w:rsidRDefault="009421C4" w:rsidP="009421C4">
      <w:pPr>
        <w:rPr>
          <w:rFonts w:ascii="Times New Roman" w:hAnsi="Times New Roman" w:cs="Times New Roman"/>
          <w:sz w:val="24"/>
          <w:szCs w:val="24"/>
        </w:rPr>
      </w:pPr>
    </w:p>
    <w:p w14:paraId="3CDDCD1C" w14:textId="712DD9B0" w:rsidR="00C54C8E" w:rsidRDefault="009421C4" w:rsidP="008561A2">
      <w:pPr>
        <w:pStyle w:val="ListParagraph"/>
        <w:numPr>
          <w:ilvl w:val="0"/>
          <w:numId w:val="15"/>
        </w:numPr>
        <w:rPr>
          <w:rFonts w:ascii="Times New Roman" w:hAnsi="Times New Roman" w:cs="Times New Roman"/>
          <w:sz w:val="24"/>
          <w:szCs w:val="24"/>
        </w:rPr>
      </w:pPr>
      <w:r w:rsidRPr="009421C4">
        <w:rPr>
          <w:rFonts w:ascii="Times New Roman" w:hAnsi="Times New Roman" w:cs="Times New Roman"/>
          <w:sz w:val="24"/>
          <w:szCs w:val="24"/>
          <w:u w:val="single"/>
        </w:rPr>
        <w:drawing>
          <wp:anchor distT="0" distB="0" distL="114300" distR="114300" simplePos="0" relativeHeight="251664384" behindDoc="0" locked="0" layoutInCell="1" allowOverlap="1" wp14:anchorId="6D841E5D" wp14:editId="0EC97415">
            <wp:simplePos x="0" y="0"/>
            <wp:positionH relativeFrom="column">
              <wp:posOffset>723900</wp:posOffset>
            </wp:positionH>
            <wp:positionV relativeFrom="paragraph">
              <wp:posOffset>365760</wp:posOffset>
            </wp:positionV>
            <wp:extent cx="8091170" cy="2876550"/>
            <wp:effectExtent l="0" t="0" r="5080" b="0"/>
            <wp:wrapTopAndBottom/>
            <wp:docPr id="62082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21105" name=""/>
                    <pic:cNvPicPr/>
                  </pic:nvPicPr>
                  <pic:blipFill>
                    <a:blip r:embed="rId12">
                      <a:extLst>
                        <a:ext uri="{28A0092B-C50C-407E-A947-70E740481C1C}">
                          <a14:useLocalDpi xmlns:a14="http://schemas.microsoft.com/office/drawing/2010/main" val="0"/>
                        </a:ext>
                      </a:extLst>
                    </a:blip>
                    <a:stretch>
                      <a:fillRect/>
                    </a:stretch>
                  </pic:blipFill>
                  <pic:spPr>
                    <a:xfrm>
                      <a:off x="0" y="0"/>
                      <a:ext cx="8091170" cy="2876550"/>
                    </a:xfrm>
                    <a:prstGeom prst="rect">
                      <a:avLst/>
                    </a:prstGeom>
                  </pic:spPr>
                </pic:pic>
              </a:graphicData>
            </a:graphic>
          </wp:anchor>
        </w:drawing>
      </w:r>
      <w:r w:rsidR="008561A2" w:rsidRPr="008561A2">
        <w:rPr>
          <w:rFonts w:ascii="Times New Roman" w:hAnsi="Times New Roman" w:cs="Times New Roman"/>
          <w:b/>
          <w:sz w:val="24"/>
          <w:szCs w:val="24"/>
          <w:u w:val="single"/>
        </w:rPr>
        <w:t>DASHBOARD</w:t>
      </w:r>
      <w:r w:rsidR="008561A2" w:rsidRPr="008561A2">
        <w:rPr>
          <w:rFonts w:ascii="Times New Roman" w:hAnsi="Times New Roman" w:cs="Times New Roman"/>
          <w:sz w:val="24"/>
          <w:szCs w:val="24"/>
        </w:rPr>
        <w:t>:</w:t>
      </w:r>
    </w:p>
    <w:p w14:paraId="2F00E414" w14:textId="77777777" w:rsidR="00CE26C8" w:rsidRPr="008561A2" w:rsidRDefault="00CE26C8" w:rsidP="00CE26C8">
      <w:pPr>
        <w:pStyle w:val="ListParagraph"/>
        <w:rPr>
          <w:rFonts w:ascii="Times New Roman" w:hAnsi="Times New Roman" w:cs="Times New Roman"/>
          <w:sz w:val="24"/>
          <w:szCs w:val="24"/>
        </w:rPr>
      </w:pPr>
    </w:p>
    <w:p w14:paraId="241274D4" w14:textId="6D89F0A8" w:rsidR="004C19E8" w:rsidRPr="00905D9B" w:rsidRDefault="004C19E8" w:rsidP="008561A2">
      <w:pPr>
        <w:jc w:val="center"/>
        <w:rPr>
          <w:rFonts w:ascii="Times New Roman" w:hAnsi="Times New Roman" w:cs="Times New Roman"/>
          <w:sz w:val="24"/>
          <w:szCs w:val="24"/>
          <w:u w:val="single"/>
        </w:rPr>
      </w:pPr>
    </w:p>
    <w:p w14:paraId="7318B1B1" w14:textId="77777777" w:rsidR="00905D9B" w:rsidRPr="00905D9B" w:rsidRDefault="00905D9B" w:rsidP="008561A2">
      <w:pPr>
        <w:jc w:val="center"/>
        <w:rPr>
          <w:rFonts w:ascii="Times New Roman" w:hAnsi="Times New Roman" w:cs="Times New Roman"/>
          <w:sz w:val="24"/>
          <w:szCs w:val="24"/>
        </w:rPr>
      </w:pPr>
      <w:r w:rsidRPr="00040FF6">
        <w:rPr>
          <w:rFonts w:ascii="Times New Roman" w:hAnsi="Times New Roman" w:cs="Times New Roman"/>
          <w:b/>
          <w:sz w:val="24"/>
          <w:szCs w:val="24"/>
        </w:rPr>
        <w:t>Fig. 1</w:t>
      </w:r>
      <w:r w:rsidRPr="00905D9B">
        <w:rPr>
          <w:rFonts w:ascii="Times New Roman" w:hAnsi="Times New Roman" w:cs="Times New Roman"/>
          <w:sz w:val="24"/>
          <w:szCs w:val="24"/>
        </w:rPr>
        <w:t>: Interactive Dashboard Overview</w:t>
      </w:r>
    </w:p>
    <w:p w14:paraId="1565DAD9" w14:textId="77777777" w:rsidR="008561A2" w:rsidRDefault="008561A2" w:rsidP="008561A2">
      <w:pPr>
        <w:rPr>
          <w:rFonts w:ascii="Times New Roman" w:hAnsi="Times New Roman" w:cs="Times New Roman"/>
          <w:i/>
          <w:sz w:val="24"/>
          <w:szCs w:val="24"/>
        </w:rPr>
      </w:pPr>
    </w:p>
    <w:p w14:paraId="7F8980EF" w14:textId="77777777" w:rsidR="00905D9B" w:rsidRDefault="00905D9B" w:rsidP="00040FF6">
      <w:pPr>
        <w:shd w:val="clear" w:color="auto" w:fill="FFF2CC" w:themeFill="accent4" w:themeFillTint="33"/>
        <w:rPr>
          <w:rFonts w:ascii="Times New Roman" w:hAnsi="Times New Roman" w:cs="Times New Roman"/>
          <w:i/>
          <w:sz w:val="24"/>
          <w:szCs w:val="24"/>
        </w:rPr>
      </w:pPr>
      <w:r w:rsidRPr="00905D9B">
        <w:rPr>
          <w:rFonts w:ascii="Times New Roman" w:hAnsi="Times New Roman" w:cs="Times New Roman"/>
          <w:i/>
          <w:sz w:val="24"/>
          <w:szCs w:val="24"/>
        </w:rPr>
        <w:t xml:space="preserve">This dashboard consolidates all four visualizations into a single interactive view, </w:t>
      </w:r>
      <w:r w:rsidRPr="00905D9B">
        <w:rPr>
          <w:rFonts w:ascii="Times New Roman" w:hAnsi="Times New Roman" w:cs="Times New Roman"/>
          <w:b/>
          <w:i/>
          <w:sz w:val="24"/>
          <w:szCs w:val="24"/>
        </w:rPr>
        <w:t>filterable by year</w:t>
      </w:r>
      <w:r w:rsidRPr="00905D9B">
        <w:rPr>
          <w:rFonts w:ascii="Times New Roman" w:hAnsi="Times New Roman" w:cs="Times New Roman"/>
          <w:i/>
          <w:sz w:val="24"/>
          <w:szCs w:val="24"/>
        </w:rPr>
        <w:t xml:space="preserve"> through a </w:t>
      </w:r>
      <w:r w:rsidRPr="00905D9B">
        <w:rPr>
          <w:rFonts w:ascii="Times New Roman" w:hAnsi="Times New Roman" w:cs="Times New Roman"/>
          <w:b/>
          <w:i/>
          <w:sz w:val="24"/>
          <w:szCs w:val="24"/>
        </w:rPr>
        <w:t>shared slicer</w:t>
      </w:r>
      <w:r w:rsidRPr="00905D9B">
        <w:rPr>
          <w:rFonts w:ascii="Times New Roman" w:hAnsi="Times New Roman" w:cs="Times New Roman"/>
          <w:i/>
          <w:sz w:val="24"/>
          <w:szCs w:val="24"/>
        </w:rPr>
        <w:t xml:space="preserve">. </w:t>
      </w:r>
      <w:r w:rsidRPr="00905D9B">
        <w:rPr>
          <w:rFonts w:ascii="Times New Roman" w:hAnsi="Times New Roman" w:cs="Times New Roman"/>
          <w:b/>
          <w:i/>
          <w:sz w:val="24"/>
          <w:szCs w:val="24"/>
        </w:rPr>
        <w:t>KPIs</w:t>
      </w:r>
      <w:r w:rsidRPr="00905D9B">
        <w:rPr>
          <w:rFonts w:ascii="Times New Roman" w:hAnsi="Times New Roman" w:cs="Times New Roman"/>
          <w:i/>
          <w:sz w:val="24"/>
          <w:szCs w:val="24"/>
        </w:rPr>
        <w:t xml:space="preserve"> and </w:t>
      </w:r>
      <w:r w:rsidRPr="00905D9B">
        <w:rPr>
          <w:rFonts w:ascii="Times New Roman" w:hAnsi="Times New Roman" w:cs="Times New Roman"/>
          <w:b/>
          <w:i/>
          <w:sz w:val="24"/>
          <w:szCs w:val="24"/>
        </w:rPr>
        <w:t>chart callouts</w:t>
      </w:r>
      <w:r w:rsidRPr="00905D9B">
        <w:rPr>
          <w:rFonts w:ascii="Times New Roman" w:hAnsi="Times New Roman" w:cs="Times New Roman"/>
          <w:i/>
          <w:sz w:val="24"/>
          <w:szCs w:val="24"/>
        </w:rPr>
        <w:t xml:space="preserve"> are </w:t>
      </w:r>
      <w:r w:rsidRPr="00905D9B">
        <w:rPr>
          <w:rFonts w:ascii="Times New Roman" w:hAnsi="Times New Roman" w:cs="Times New Roman"/>
          <w:b/>
          <w:i/>
          <w:sz w:val="24"/>
          <w:szCs w:val="24"/>
        </w:rPr>
        <w:t>fully dynamic</w:t>
      </w:r>
      <w:r w:rsidRPr="00905D9B">
        <w:rPr>
          <w:rFonts w:ascii="Times New Roman" w:hAnsi="Times New Roman" w:cs="Times New Roman"/>
          <w:i/>
          <w:sz w:val="24"/>
          <w:szCs w:val="24"/>
        </w:rPr>
        <w:t xml:space="preserve"> — built using array formulas — so all figures and </w:t>
      </w:r>
      <w:r w:rsidRPr="00905D9B">
        <w:rPr>
          <w:rFonts w:ascii="Times New Roman" w:hAnsi="Times New Roman" w:cs="Times New Roman"/>
          <w:b/>
          <w:i/>
          <w:sz w:val="24"/>
          <w:szCs w:val="24"/>
        </w:rPr>
        <w:t>R-value interpretations update live</w:t>
      </w:r>
      <w:r w:rsidRPr="00905D9B">
        <w:rPr>
          <w:rFonts w:ascii="Times New Roman" w:hAnsi="Times New Roman" w:cs="Times New Roman"/>
          <w:i/>
          <w:sz w:val="24"/>
          <w:szCs w:val="24"/>
        </w:rPr>
        <w:t xml:space="preserve"> as the filter changes, rather than remaining static.</w:t>
      </w:r>
    </w:p>
    <w:p w14:paraId="59244350" w14:textId="77777777" w:rsidR="008561A2" w:rsidRPr="00905D9B" w:rsidRDefault="008561A2" w:rsidP="008561A2">
      <w:pPr>
        <w:rPr>
          <w:rFonts w:ascii="Times New Roman" w:hAnsi="Times New Roman" w:cs="Times New Roman"/>
          <w:i/>
          <w:sz w:val="24"/>
          <w:szCs w:val="24"/>
          <w:u w:val="single"/>
        </w:rPr>
      </w:pPr>
    </w:p>
    <w:p w14:paraId="6B0E9502" w14:textId="77777777" w:rsidR="00CE26C8" w:rsidRDefault="00CE26C8" w:rsidP="00CE26C8">
      <w:pPr>
        <w:pStyle w:val="ListParagraph"/>
        <w:jc w:val="both"/>
        <w:rPr>
          <w:rFonts w:ascii="Times New Roman" w:hAnsi="Times New Roman" w:cs="Times New Roman"/>
          <w:sz w:val="24"/>
          <w:szCs w:val="24"/>
        </w:rPr>
      </w:pPr>
    </w:p>
    <w:p w14:paraId="636B301B" w14:textId="77777777" w:rsidR="00CE26C8" w:rsidRDefault="00CE26C8" w:rsidP="00CE26C8">
      <w:pPr>
        <w:pStyle w:val="ListParagraph"/>
        <w:jc w:val="both"/>
        <w:rPr>
          <w:rFonts w:ascii="Times New Roman" w:hAnsi="Times New Roman" w:cs="Times New Roman"/>
          <w:sz w:val="24"/>
          <w:szCs w:val="24"/>
        </w:rPr>
      </w:pPr>
    </w:p>
    <w:p w14:paraId="76D390F6" w14:textId="77777777" w:rsidR="00CE26C8" w:rsidRDefault="00CE26C8" w:rsidP="00CE26C8">
      <w:pPr>
        <w:pStyle w:val="ListParagraph"/>
        <w:jc w:val="both"/>
        <w:rPr>
          <w:rFonts w:ascii="Times New Roman" w:hAnsi="Times New Roman" w:cs="Times New Roman"/>
          <w:sz w:val="24"/>
          <w:szCs w:val="24"/>
        </w:rPr>
      </w:pPr>
    </w:p>
    <w:p w14:paraId="4EF5FD2B" w14:textId="77777777" w:rsidR="00CE26C8" w:rsidRPr="00CE26C8" w:rsidRDefault="00CE26C8" w:rsidP="00CE26C8">
      <w:pPr>
        <w:pStyle w:val="ListParagraph"/>
        <w:jc w:val="both"/>
        <w:rPr>
          <w:rFonts w:ascii="Times New Roman" w:hAnsi="Times New Roman" w:cs="Times New Roman"/>
          <w:sz w:val="24"/>
          <w:szCs w:val="24"/>
        </w:rPr>
      </w:pPr>
    </w:p>
    <w:p w14:paraId="5F3742E1" w14:textId="3CB0F0B1" w:rsidR="00040FF6" w:rsidRDefault="008561A2" w:rsidP="00040FF6">
      <w:pPr>
        <w:pStyle w:val="ListParagraph"/>
        <w:numPr>
          <w:ilvl w:val="0"/>
          <w:numId w:val="15"/>
        </w:numPr>
        <w:jc w:val="both"/>
        <w:rPr>
          <w:rFonts w:ascii="Times New Roman" w:hAnsi="Times New Roman" w:cs="Times New Roman"/>
          <w:sz w:val="24"/>
          <w:szCs w:val="24"/>
        </w:rPr>
      </w:pPr>
      <w:r w:rsidRPr="00040FF6">
        <w:rPr>
          <w:rFonts w:ascii="Times New Roman" w:hAnsi="Times New Roman" w:cs="Times New Roman"/>
          <w:b/>
          <w:sz w:val="24"/>
          <w:szCs w:val="24"/>
          <w:u w:val="single"/>
        </w:rPr>
        <w:t>SUMMARY</w:t>
      </w:r>
      <w:r w:rsidRPr="00040FF6">
        <w:rPr>
          <w:rFonts w:ascii="Times New Roman" w:hAnsi="Times New Roman" w:cs="Times New Roman"/>
          <w:sz w:val="24"/>
          <w:szCs w:val="24"/>
        </w:rPr>
        <w:t>:</w:t>
      </w:r>
      <w:r w:rsidR="00763BC7" w:rsidRPr="00040FF6">
        <w:rPr>
          <w:rFonts w:ascii="Times New Roman" w:hAnsi="Times New Roman" w:cs="Times New Roman"/>
          <w:sz w:val="24"/>
          <w:szCs w:val="24"/>
        </w:rPr>
        <w:t xml:space="preserve"> This project </w:t>
      </w:r>
      <w:proofErr w:type="spellStart"/>
      <w:r w:rsidR="00763BC7" w:rsidRPr="00040FF6">
        <w:rPr>
          <w:rFonts w:ascii="Times New Roman" w:hAnsi="Times New Roman" w:cs="Times New Roman"/>
          <w:sz w:val="24"/>
          <w:szCs w:val="24"/>
        </w:rPr>
        <w:t>analyzes</w:t>
      </w:r>
      <w:proofErr w:type="spellEnd"/>
      <w:r w:rsidR="00763BC7" w:rsidRPr="00040FF6">
        <w:rPr>
          <w:rFonts w:ascii="Times New Roman" w:hAnsi="Times New Roman" w:cs="Times New Roman"/>
          <w:sz w:val="24"/>
          <w:szCs w:val="24"/>
        </w:rPr>
        <w:t xml:space="preserve"> global tourism trends across 21 countries from 1999 to 2017, evaluating the interplay between tourist arrivals, receipts, export dependency, and macroeconomic indicators such as inflation and unemployment. The dataset was cleaned via country-wise interpolation and structured into interactive Excel dashboards utilizing pivot tables, correlation </w:t>
      </w:r>
      <w:proofErr w:type="spellStart"/>
      <w:r w:rsidR="00763BC7" w:rsidRPr="00040FF6">
        <w:rPr>
          <w:rFonts w:ascii="Times New Roman" w:hAnsi="Times New Roman" w:cs="Times New Roman"/>
          <w:sz w:val="24"/>
          <w:szCs w:val="24"/>
        </w:rPr>
        <w:t>modeling</w:t>
      </w:r>
      <w:proofErr w:type="spellEnd"/>
      <w:r w:rsidR="00763BC7" w:rsidRPr="00040FF6">
        <w:rPr>
          <w:rFonts w:ascii="Times New Roman" w:hAnsi="Times New Roman" w:cs="Times New Roman"/>
          <w:sz w:val="24"/>
          <w:szCs w:val="24"/>
        </w:rPr>
        <w:t>, and dynamic charts.</w:t>
      </w:r>
      <w:r w:rsidR="00040FF6">
        <w:rPr>
          <w:rFonts w:ascii="Times New Roman" w:hAnsi="Times New Roman" w:cs="Times New Roman"/>
          <w:sz w:val="24"/>
          <w:szCs w:val="24"/>
        </w:rPr>
        <w:t xml:space="preserve"> </w:t>
      </w:r>
    </w:p>
    <w:p w14:paraId="660DA460" w14:textId="77777777" w:rsidR="00763BC7" w:rsidRPr="00040FF6" w:rsidRDefault="00763BC7" w:rsidP="00040FF6">
      <w:pPr>
        <w:pStyle w:val="ListParagraph"/>
        <w:jc w:val="both"/>
        <w:rPr>
          <w:rFonts w:ascii="Times New Roman" w:hAnsi="Times New Roman" w:cs="Times New Roman"/>
          <w:sz w:val="24"/>
          <w:szCs w:val="24"/>
        </w:rPr>
      </w:pPr>
      <w:r w:rsidRPr="00040FF6">
        <w:rPr>
          <w:rFonts w:ascii="Times New Roman" w:hAnsi="Times New Roman" w:cs="Times New Roman"/>
          <w:sz w:val="24"/>
          <w:szCs w:val="24"/>
        </w:rPr>
        <w:t>The findings show substantial global tourism growth and a strong link between arrival numbers and revenue generation, with activity heavily concentrated in select regions—such as the Arab World leading total arrivals, and economies like Antigua and Barbuda showing high tourism export dependency. However, broader macroeconomic conditions (including high-unemployment outliers like Armenia at ~18.59%) demonstrated only a weak relationship with overall tourism performance, indicating that travel demand operates largely independent of domestic economic headwinds</w:t>
      </w:r>
    </w:p>
    <w:p w14:paraId="3467F3A2" w14:textId="77777777" w:rsidR="00C54C8E" w:rsidRPr="00905D9B" w:rsidRDefault="00C54C8E" w:rsidP="00040FF6">
      <w:pPr>
        <w:jc w:val="both"/>
        <w:rPr>
          <w:rFonts w:ascii="Times New Roman" w:hAnsi="Times New Roman" w:cs="Times New Roman"/>
          <w:sz w:val="24"/>
          <w:szCs w:val="24"/>
        </w:rPr>
      </w:pPr>
    </w:p>
    <w:p w14:paraId="12FA51E4" w14:textId="77777777" w:rsidR="00D17B9C" w:rsidRPr="00040FF6" w:rsidRDefault="00010174" w:rsidP="00040FF6">
      <w:pPr>
        <w:pStyle w:val="ListParagraph"/>
        <w:numPr>
          <w:ilvl w:val="0"/>
          <w:numId w:val="15"/>
        </w:numPr>
        <w:jc w:val="both"/>
        <w:rPr>
          <w:rFonts w:ascii="Times New Roman" w:hAnsi="Times New Roman" w:cs="Times New Roman"/>
          <w:sz w:val="24"/>
          <w:szCs w:val="24"/>
        </w:rPr>
      </w:pPr>
      <w:r w:rsidRPr="00040FF6">
        <w:rPr>
          <w:rFonts w:ascii="Times New Roman" w:hAnsi="Times New Roman" w:cs="Times New Roman"/>
          <w:b/>
          <w:sz w:val="24"/>
          <w:szCs w:val="24"/>
          <w:u w:val="single"/>
        </w:rPr>
        <w:t>CONCLUSION/ FINDINGS</w:t>
      </w:r>
      <w:r w:rsidRPr="00040FF6">
        <w:rPr>
          <w:rFonts w:ascii="Times New Roman" w:hAnsi="Times New Roman" w:cs="Times New Roman"/>
          <w:sz w:val="24"/>
          <w:szCs w:val="24"/>
        </w:rPr>
        <w:t>:</w:t>
      </w:r>
    </w:p>
    <w:p w14:paraId="2824489C" w14:textId="77777777" w:rsidR="00010174" w:rsidRPr="00905D9B" w:rsidRDefault="00010174" w:rsidP="00040FF6">
      <w:pPr>
        <w:pStyle w:val="ListParagraph"/>
        <w:numPr>
          <w:ilvl w:val="0"/>
          <w:numId w:val="7"/>
        </w:numPr>
        <w:ind w:left="1080"/>
        <w:jc w:val="both"/>
        <w:rPr>
          <w:rFonts w:ascii="Times New Roman" w:hAnsi="Times New Roman" w:cs="Times New Roman"/>
          <w:sz w:val="24"/>
          <w:szCs w:val="24"/>
        </w:rPr>
      </w:pPr>
      <w:r w:rsidRPr="00905D9B">
        <w:rPr>
          <w:rFonts w:ascii="Times New Roman" w:hAnsi="Times New Roman" w:cs="Times New Roman"/>
          <w:sz w:val="24"/>
          <w:szCs w:val="24"/>
        </w:rPr>
        <w:t>Steady Growth: Global tourism grew steadily from 1999 to 2017 and is a key driver of revenue.</w:t>
      </w:r>
    </w:p>
    <w:p w14:paraId="130245AB" w14:textId="77777777" w:rsidR="00010174" w:rsidRPr="00905D9B" w:rsidRDefault="00010174" w:rsidP="00040FF6">
      <w:pPr>
        <w:pStyle w:val="ListParagraph"/>
        <w:numPr>
          <w:ilvl w:val="0"/>
          <w:numId w:val="7"/>
        </w:numPr>
        <w:ind w:left="1080"/>
        <w:jc w:val="both"/>
        <w:rPr>
          <w:rFonts w:ascii="Times New Roman" w:hAnsi="Times New Roman" w:cs="Times New Roman"/>
          <w:sz w:val="24"/>
          <w:szCs w:val="24"/>
        </w:rPr>
      </w:pPr>
      <w:r w:rsidRPr="00905D9B">
        <w:rPr>
          <w:rFonts w:ascii="Times New Roman" w:hAnsi="Times New Roman" w:cs="Times New Roman"/>
          <w:sz w:val="24"/>
          <w:szCs w:val="24"/>
        </w:rPr>
        <w:t>Strong Link: There is a strong link between tourist arrivals and tourism income, with R = 0.9.</w:t>
      </w:r>
    </w:p>
    <w:p w14:paraId="59375F0D" w14:textId="77777777" w:rsidR="00010174" w:rsidRPr="00905D9B" w:rsidRDefault="00010174" w:rsidP="00040FF6">
      <w:pPr>
        <w:pStyle w:val="ListParagraph"/>
        <w:numPr>
          <w:ilvl w:val="0"/>
          <w:numId w:val="7"/>
        </w:numPr>
        <w:ind w:left="1080"/>
        <w:jc w:val="both"/>
        <w:rPr>
          <w:rFonts w:ascii="Times New Roman" w:hAnsi="Times New Roman" w:cs="Times New Roman"/>
          <w:sz w:val="24"/>
          <w:szCs w:val="24"/>
        </w:rPr>
      </w:pPr>
      <w:r w:rsidRPr="00905D9B">
        <w:rPr>
          <w:rFonts w:ascii="Times New Roman" w:hAnsi="Times New Roman" w:cs="Times New Roman"/>
          <w:sz w:val="24"/>
          <w:szCs w:val="24"/>
        </w:rPr>
        <w:t>Regional Leader: The Arab World is leading in tourist arrivals and post-pandemic growth.</w:t>
      </w:r>
    </w:p>
    <w:p w14:paraId="3C465CD3" w14:textId="77777777" w:rsidR="00010174" w:rsidRPr="00905D9B" w:rsidRDefault="00010174" w:rsidP="00040FF6">
      <w:pPr>
        <w:pStyle w:val="ListParagraph"/>
        <w:numPr>
          <w:ilvl w:val="0"/>
          <w:numId w:val="7"/>
        </w:numPr>
        <w:ind w:left="1080"/>
        <w:jc w:val="both"/>
        <w:rPr>
          <w:rFonts w:ascii="Times New Roman" w:hAnsi="Times New Roman" w:cs="Times New Roman"/>
          <w:sz w:val="24"/>
          <w:szCs w:val="24"/>
        </w:rPr>
      </w:pPr>
      <w:r w:rsidRPr="00905D9B">
        <w:rPr>
          <w:rFonts w:ascii="Times New Roman" w:hAnsi="Times New Roman" w:cs="Times New Roman"/>
          <w:sz w:val="24"/>
          <w:szCs w:val="24"/>
        </w:rPr>
        <w:t>High Dependency: Benefits are concentrated in top hubs. Small countries like Antigua are highly dependent on tourism exports.</w:t>
      </w:r>
    </w:p>
    <w:p w14:paraId="7263E217" w14:textId="77777777" w:rsidR="00010174" w:rsidRPr="00905D9B" w:rsidRDefault="00010174" w:rsidP="00040FF6">
      <w:pPr>
        <w:pStyle w:val="ListParagraph"/>
        <w:numPr>
          <w:ilvl w:val="0"/>
          <w:numId w:val="7"/>
        </w:numPr>
        <w:ind w:left="1080"/>
        <w:jc w:val="both"/>
        <w:rPr>
          <w:rFonts w:ascii="Times New Roman" w:hAnsi="Times New Roman" w:cs="Times New Roman"/>
          <w:sz w:val="24"/>
          <w:szCs w:val="24"/>
        </w:rPr>
      </w:pPr>
      <w:r w:rsidRPr="00905D9B">
        <w:rPr>
          <w:rFonts w:ascii="Times New Roman" w:hAnsi="Times New Roman" w:cs="Times New Roman"/>
          <w:sz w:val="24"/>
          <w:szCs w:val="24"/>
        </w:rPr>
        <w:t>Weak Macro Impact: Tourism has only a weak impact on unemployment and inflation.</w:t>
      </w:r>
    </w:p>
    <w:p w14:paraId="7CE58B95" w14:textId="77777777" w:rsidR="00010174" w:rsidRPr="00905D9B" w:rsidRDefault="00010174" w:rsidP="00040FF6">
      <w:pPr>
        <w:pStyle w:val="ListParagraph"/>
        <w:numPr>
          <w:ilvl w:val="0"/>
          <w:numId w:val="7"/>
        </w:numPr>
        <w:ind w:left="1080"/>
        <w:jc w:val="both"/>
        <w:rPr>
          <w:rFonts w:ascii="Times New Roman" w:hAnsi="Times New Roman" w:cs="Times New Roman"/>
          <w:sz w:val="24"/>
          <w:szCs w:val="24"/>
        </w:rPr>
      </w:pPr>
      <w:r w:rsidRPr="00905D9B">
        <w:rPr>
          <w:rFonts w:ascii="Times New Roman" w:hAnsi="Times New Roman" w:cs="Times New Roman"/>
          <w:sz w:val="24"/>
          <w:szCs w:val="24"/>
        </w:rPr>
        <w:t>Need for Diversification: Tourism gives high growth, but countries also need economic diversification for balanced development.</w:t>
      </w:r>
    </w:p>
    <w:p w14:paraId="0D28BD75" w14:textId="77777777" w:rsidR="00010174" w:rsidRPr="00905D9B" w:rsidRDefault="00010174" w:rsidP="00040FF6">
      <w:pPr>
        <w:ind w:left="360"/>
        <w:jc w:val="both"/>
        <w:rPr>
          <w:rFonts w:ascii="Times New Roman" w:hAnsi="Times New Roman" w:cs="Times New Roman"/>
          <w:sz w:val="24"/>
          <w:szCs w:val="24"/>
        </w:rPr>
      </w:pPr>
      <w:r w:rsidRPr="00905D9B">
        <w:rPr>
          <w:rFonts w:ascii="Times New Roman" w:hAnsi="Times New Roman" w:cs="Times New Roman"/>
          <w:b/>
          <w:sz w:val="24"/>
          <w:szCs w:val="24"/>
          <w:u w:val="single"/>
        </w:rPr>
        <w:t>Final Takeaway</w:t>
      </w:r>
      <w:r w:rsidRPr="00905D9B">
        <w:rPr>
          <w:rFonts w:ascii="Times New Roman" w:hAnsi="Times New Roman" w:cs="Times New Roman"/>
          <w:sz w:val="24"/>
          <w:szCs w:val="24"/>
        </w:rPr>
        <w:t>: Tourism is growing and profitable with a strong arrivals-to-income link.</w:t>
      </w:r>
    </w:p>
    <w:p w14:paraId="6EF8DB63" w14:textId="77777777" w:rsidR="00C54C8E" w:rsidRPr="00905D9B" w:rsidRDefault="00C54C8E" w:rsidP="008561A2">
      <w:pPr>
        <w:rPr>
          <w:rFonts w:ascii="Times New Roman" w:hAnsi="Times New Roman" w:cs="Times New Roman"/>
          <w:sz w:val="24"/>
          <w:szCs w:val="24"/>
        </w:rPr>
      </w:pPr>
    </w:p>
    <w:p w14:paraId="5C055368" w14:textId="77777777" w:rsidR="00C54C8E" w:rsidRPr="00905D9B" w:rsidRDefault="00C54C8E" w:rsidP="008561A2">
      <w:pPr>
        <w:rPr>
          <w:rFonts w:ascii="Times New Roman" w:hAnsi="Times New Roman" w:cs="Times New Roman"/>
          <w:sz w:val="24"/>
          <w:szCs w:val="24"/>
        </w:rPr>
      </w:pPr>
    </w:p>
    <w:p w14:paraId="535DB318" w14:textId="77777777" w:rsidR="00C54C8E" w:rsidRPr="00905D9B" w:rsidRDefault="00C54C8E" w:rsidP="008561A2">
      <w:pPr>
        <w:rPr>
          <w:rFonts w:ascii="Times New Roman" w:hAnsi="Times New Roman" w:cs="Times New Roman"/>
          <w:sz w:val="24"/>
          <w:szCs w:val="24"/>
        </w:rPr>
      </w:pPr>
    </w:p>
    <w:sectPr w:rsidR="00C54C8E" w:rsidRPr="00905D9B" w:rsidSect="00F1332B">
      <w:headerReference w:type="default" r:id="rId13"/>
      <w:footerReference w:type="default" r:id="rId1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6AD98" w14:textId="77777777" w:rsidR="0002617C" w:rsidRDefault="0002617C" w:rsidP="00C54C8E">
      <w:pPr>
        <w:spacing w:after="0" w:line="240" w:lineRule="auto"/>
      </w:pPr>
      <w:r>
        <w:separator/>
      </w:r>
    </w:p>
  </w:endnote>
  <w:endnote w:type="continuationSeparator" w:id="0">
    <w:p w14:paraId="6467886C" w14:textId="77777777" w:rsidR="0002617C" w:rsidRDefault="0002617C" w:rsidP="00C5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599598"/>
      <w:docPartObj>
        <w:docPartGallery w:val="Page Numbers (Bottom of Page)"/>
        <w:docPartUnique/>
      </w:docPartObj>
    </w:sdtPr>
    <w:sdtEndPr>
      <w:rPr>
        <w:noProof/>
      </w:rPr>
    </w:sdtEndPr>
    <w:sdtContent>
      <w:p w14:paraId="73535CB3" w14:textId="77777777" w:rsidR="00C54C8E" w:rsidRDefault="00C54C8E">
        <w:pPr>
          <w:pStyle w:val="Footer"/>
          <w:jc w:val="center"/>
        </w:pPr>
        <w:r>
          <w:fldChar w:fldCharType="begin"/>
        </w:r>
        <w:r>
          <w:instrText xml:space="preserve"> PAGE   \* MERGEFORMAT </w:instrText>
        </w:r>
        <w:r>
          <w:fldChar w:fldCharType="separate"/>
        </w:r>
        <w:r w:rsidR="00040FF6">
          <w:rPr>
            <w:noProof/>
          </w:rPr>
          <w:t>1</w:t>
        </w:r>
        <w:r>
          <w:rPr>
            <w:noProof/>
          </w:rPr>
          <w:fldChar w:fldCharType="end"/>
        </w:r>
      </w:p>
    </w:sdtContent>
  </w:sdt>
  <w:p w14:paraId="601828AD" w14:textId="77777777" w:rsidR="00C54C8E" w:rsidRDefault="00C54C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46CC9" w14:textId="77777777" w:rsidR="0002617C" w:rsidRDefault="0002617C" w:rsidP="00C54C8E">
      <w:pPr>
        <w:spacing w:after="0" w:line="240" w:lineRule="auto"/>
      </w:pPr>
      <w:r>
        <w:separator/>
      </w:r>
    </w:p>
  </w:footnote>
  <w:footnote w:type="continuationSeparator" w:id="0">
    <w:p w14:paraId="79B624AF" w14:textId="77777777" w:rsidR="0002617C" w:rsidRDefault="0002617C" w:rsidP="00C54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E5E3" w14:textId="77777777" w:rsidR="00C54C8E" w:rsidRPr="00905D9B" w:rsidRDefault="00C54C8E">
    <w:pPr>
      <w:pStyle w:val="Header"/>
      <w:rPr>
        <w:rFonts w:ascii="Arial" w:hAnsi="Arial" w:cs="Arial"/>
        <w:b/>
        <w:sz w:val="36"/>
        <w:szCs w:val="36"/>
      </w:rPr>
    </w:pPr>
    <w:r w:rsidRPr="00C54C8E">
      <w:rPr>
        <w:rFonts w:ascii="Arial" w:hAnsi="Arial" w:cs="Arial"/>
        <w:b/>
        <w:sz w:val="36"/>
        <w:szCs w:val="36"/>
      </w:rPr>
      <w:t>NIIT</w:t>
    </w:r>
    <w:r>
      <w:rPr>
        <w:rFonts w:ascii="Arial" w:hAnsi="Arial" w:cs="Arial"/>
        <w:b/>
        <w:sz w:val="36"/>
        <w:szCs w:val="36"/>
      </w:rPr>
      <w:t xml:space="preserve">                      </w:t>
    </w:r>
    <w:r w:rsidR="00905D9B">
      <w:rPr>
        <w:rFonts w:ascii="Arial" w:hAnsi="Arial" w:cs="Arial"/>
        <w:b/>
        <w:sz w:val="36"/>
        <w:szCs w:val="36"/>
      </w:rPr>
      <w:t xml:space="preserve">                                                 </w:t>
    </w:r>
    <w:r>
      <w:rPr>
        <w:rFonts w:ascii="Arial" w:hAnsi="Arial" w:cs="Arial"/>
        <w:b/>
        <w:sz w:val="36"/>
        <w:szCs w:val="36"/>
      </w:rPr>
      <w:t xml:space="preserve">  </w:t>
    </w:r>
    <w:r w:rsidRPr="00C54C8E">
      <w:rPr>
        <w:rFonts w:ascii="Arial" w:hAnsi="Arial" w:cs="Arial"/>
        <w:b/>
        <w:sz w:val="24"/>
        <w:szCs w:val="24"/>
      </w:rPr>
      <w:t>Professional Program in Data Analytics with Gen AI</w:t>
    </w:r>
  </w:p>
  <w:p w14:paraId="5748FDC5" w14:textId="77777777" w:rsidR="00C54C8E" w:rsidRDefault="00C54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D5A0"/>
      </v:shape>
    </w:pict>
  </w:numPicBullet>
  <w:abstractNum w:abstractNumId="0" w15:restartNumberingAfterBreak="0">
    <w:nsid w:val="09A0623A"/>
    <w:multiLevelType w:val="hybridMultilevel"/>
    <w:tmpl w:val="08ECBCC4"/>
    <w:lvl w:ilvl="0" w:tplc="40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CE415C"/>
    <w:multiLevelType w:val="hybridMultilevel"/>
    <w:tmpl w:val="640A4B0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8132F"/>
    <w:multiLevelType w:val="hybridMultilevel"/>
    <w:tmpl w:val="5E7ADFBE"/>
    <w:lvl w:ilvl="0" w:tplc="1180C062">
      <w:start w:val="1"/>
      <w:numFmt w:val="decimal"/>
      <w:lvlText w:val="%1."/>
      <w:lvlJc w:val="left"/>
      <w:pPr>
        <w:tabs>
          <w:tab w:val="num" w:pos="720"/>
        </w:tabs>
        <w:ind w:left="720" w:hanging="360"/>
      </w:pPr>
      <w:rPr>
        <w:rFonts w:asciiTheme="minorHAnsi" w:eastAsiaTheme="minorHAnsi" w:hAnsiTheme="minorHAnsi" w:cstheme="minorBidi"/>
        <w:b/>
      </w:rPr>
    </w:lvl>
    <w:lvl w:ilvl="1" w:tplc="F7725124">
      <w:start w:val="1"/>
      <w:numFmt w:val="bullet"/>
      <w:lvlText w:val="•"/>
      <w:lvlJc w:val="left"/>
      <w:pPr>
        <w:tabs>
          <w:tab w:val="num" w:pos="1440"/>
        </w:tabs>
        <w:ind w:left="1440" w:hanging="360"/>
      </w:pPr>
      <w:rPr>
        <w:rFonts w:ascii="Arial" w:hAnsi="Arial" w:hint="default"/>
      </w:rPr>
    </w:lvl>
    <w:lvl w:ilvl="2" w:tplc="45C64AEA" w:tentative="1">
      <w:start w:val="1"/>
      <w:numFmt w:val="bullet"/>
      <w:lvlText w:val="•"/>
      <w:lvlJc w:val="left"/>
      <w:pPr>
        <w:tabs>
          <w:tab w:val="num" w:pos="2160"/>
        </w:tabs>
        <w:ind w:left="2160" w:hanging="360"/>
      </w:pPr>
      <w:rPr>
        <w:rFonts w:ascii="Arial" w:hAnsi="Arial" w:hint="default"/>
      </w:rPr>
    </w:lvl>
    <w:lvl w:ilvl="3" w:tplc="46F0B5CA" w:tentative="1">
      <w:start w:val="1"/>
      <w:numFmt w:val="bullet"/>
      <w:lvlText w:val="•"/>
      <w:lvlJc w:val="left"/>
      <w:pPr>
        <w:tabs>
          <w:tab w:val="num" w:pos="2880"/>
        </w:tabs>
        <w:ind w:left="2880" w:hanging="360"/>
      </w:pPr>
      <w:rPr>
        <w:rFonts w:ascii="Arial" w:hAnsi="Arial" w:hint="default"/>
      </w:rPr>
    </w:lvl>
    <w:lvl w:ilvl="4" w:tplc="A926BD76" w:tentative="1">
      <w:start w:val="1"/>
      <w:numFmt w:val="bullet"/>
      <w:lvlText w:val="•"/>
      <w:lvlJc w:val="left"/>
      <w:pPr>
        <w:tabs>
          <w:tab w:val="num" w:pos="3600"/>
        </w:tabs>
        <w:ind w:left="3600" w:hanging="360"/>
      </w:pPr>
      <w:rPr>
        <w:rFonts w:ascii="Arial" w:hAnsi="Arial" w:hint="default"/>
      </w:rPr>
    </w:lvl>
    <w:lvl w:ilvl="5" w:tplc="EAF0B426" w:tentative="1">
      <w:start w:val="1"/>
      <w:numFmt w:val="bullet"/>
      <w:lvlText w:val="•"/>
      <w:lvlJc w:val="left"/>
      <w:pPr>
        <w:tabs>
          <w:tab w:val="num" w:pos="4320"/>
        </w:tabs>
        <w:ind w:left="4320" w:hanging="360"/>
      </w:pPr>
      <w:rPr>
        <w:rFonts w:ascii="Arial" w:hAnsi="Arial" w:hint="default"/>
      </w:rPr>
    </w:lvl>
    <w:lvl w:ilvl="6" w:tplc="9AE83410" w:tentative="1">
      <w:start w:val="1"/>
      <w:numFmt w:val="bullet"/>
      <w:lvlText w:val="•"/>
      <w:lvlJc w:val="left"/>
      <w:pPr>
        <w:tabs>
          <w:tab w:val="num" w:pos="5040"/>
        </w:tabs>
        <w:ind w:left="5040" w:hanging="360"/>
      </w:pPr>
      <w:rPr>
        <w:rFonts w:ascii="Arial" w:hAnsi="Arial" w:hint="default"/>
      </w:rPr>
    </w:lvl>
    <w:lvl w:ilvl="7" w:tplc="91FE58F4" w:tentative="1">
      <w:start w:val="1"/>
      <w:numFmt w:val="bullet"/>
      <w:lvlText w:val="•"/>
      <w:lvlJc w:val="left"/>
      <w:pPr>
        <w:tabs>
          <w:tab w:val="num" w:pos="5760"/>
        </w:tabs>
        <w:ind w:left="5760" w:hanging="360"/>
      </w:pPr>
      <w:rPr>
        <w:rFonts w:ascii="Arial" w:hAnsi="Arial" w:hint="default"/>
      </w:rPr>
    </w:lvl>
    <w:lvl w:ilvl="8" w:tplc="EEA8274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F693841"/>
    <w:multiLevelType w:val="hybridMultilevel"/>
    <w:tmpl w:val="8D80ED4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55D5B"/>
    <w:multiLevelType w:val="hybridMultilevel"/>
    <w:tmpl w:val="B2585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2874E8"/>
    <w:multiLevelType w:val="hybridMultilevel"/>
    <w:tmpl w:val="7B06180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0B58FD"/>
    <w:multiLevelType w:val="hybridMultilevel"/>
    <w:tmpl w:val="45BCA8B8"/>
    <w:lvl w:ilvl="0" w:tplc="4C0E2896">
      <w:start w:val="1"/>
      <w:numFmt w:val="bullet"/>
      <w:lvlText w:val="•"/>
      <w:lvlJc w:val="left"/>
      <w:pPr>
        <w:tabs>
          <w:tab w:val="num" w:pos="720"/>
        </w:tabs>
        <w:ind w:left="720" w:hanging="360"/>
      </w:pPr>
      <w:rPr>
        <w:rFonts w:ascii="Arial" w:hAnsi="Arial" w:hint="default"/>
      </w:rPr>
    </w:lvl>
    <w:lvl w:ilvl="1" w:tplc="851CFFCC" w:tentative="1">
      <w:start w:val="1"/>
      <w:numFmt w:val="bullet"/>
      <w:lvlText w:val="•"/>
      <w:lvlJc w:val="left"/>
      <w:pPr>
        <w:tabs>
          <w:tab w:val="num" w:pos="1440"/>
        </w:tabs>
        <w:ind w:left="1440" w:hanging="360"/>
      </w:pPr>
      <w:rPr>
        <w:rFonts w:ascii="Arial" w:hAnsi="Arial" w:hint="default"/>
      </w:rPr>
    </w:lvl>
    <w:lvl w:ilvl="2" w:tplc="D4F081D0" w:tentative="1">
      <w:start w:val="1"/>
      <w:numFmt w:val="bullet"/>
      <w:lvlText w:val="•"/>
      <w:lvlJc w:val="left"/>
      <w:pPr>
        <w:tabs>
          <w:tab w:val="num" w:pos="2160"/>
        </w:tabs>
        <w:ind w:left="2160" w:hanging="360"/>
      </w:pPr>
      <w:rPr>
        <w:rFonts w:ascii="Arial" w:hAnsi="Arial" w:hint="default"/>
      </w:rPr>
    </w:lvl>
    <w:lvl w:ilvl="3" w:tplc="AA9A73B0" w:tentative="1">
      <w:start w:val="1"/>
      <w:numFmt w:val="bullet"/>
      <w:lvlText w:val="•"/>
      <w:lvlJc w:val="left"/>
      <w:pPr>
        <w:tabs>
          <w:tab w:val="num" w:pos="2880"/>
        </w:tabs>
        <w:ind w:left="2880" w:hanging="360"/>
      </w:pPr>
      <w:rPr>
        <w:rFonts w:ascii="Arial" w:hAnsi="Arial" w:hint="default"/>
      </w:rPr>
    </w:lvl>
    <w:lvl w:ilvl="4" w:tplc="879E5626" w:tentative="1">
      <w:start w:val="1"/>
      <w:numFmt w:val="bullet"/>
      <w:lvlText w:val="•"/>
      <w:lvlJc w:val="left"/>
      <w:pPr>
        <w:tabs>
          <w:tab w:val="num" w:pos="3600"/>
        </w:tabs>
        <w:ind w:left="3600" w:hanging="360"/>
      </w:pPr>
      <w:rPr>
        <w:rFonts w:ascii="Arial" w:hAnsi="Arial" w:hint="default"/>
      </w:rPr>
    </w:lvl>
    <w:lvl w:ilvl="5" w:tplc="7138D872" w:tentative="1">
      <w:start w:val="1"/>
      <w:numFmt w:val="bullet"/>
      <w:lvlText w:val="•"/>
      <w:lvlJc w:val="left"/>
      <w:pPr>
        <w:tabs>
          <w:tab w:val="num" w:pos="4320"/>
        </w:tabs>
        <w:ind w:left="4320" w:hanging="360"/>
      </w:pPr>
      <w:rPr>
        <w:rFonts w:ascii="Arial" w:hAnsi="Arial" w:hint="default"/>
      </w:rPr>
    </w:lvl>
    <w:lvl w:ilvl="6" w:tplc="135AC9AE" w:tentative="1">
      <w:start w:val="1"/>
      <w:numFmt w:val="bullet"/>
      <w:lvlText w:val="•"/>
      <w:lvlJc w:val="left"/>
      <w:pPr>
        <w:tabs>
          <w:tab w:val="num" w:pos="5040"/>
        </w:tabs>
        <w:ind w:left="5040" w:hanging="360"/>
      </w:pPr>
      <w:rPr>
        <w:rFonts w:ascii="Arial" w:hAnsi="Arial" w:hint="default"/>
      </w:rPr>
    </w:lvl>
    <w:lvl w:ilvl="7" w:tplc="BEA8D928" w:tentative="1">
      <w:start w:val="1"/>
      <w:numFmt w:val="bullet"/>
      <w:lvlText w:val="•"/>
      <w:lvlJc w:val="left"/>
      <w:pPr>
        <w:tabs>
          <w:tab w:val="num" w:pos="5760"/>
        </w:tabs>
        <w:ind w:left="5760" w:hanging="360"/>
      </w:pPr>
      <w:rPr>
        <w:rFonts w:ascii="Arial" w:hAnsi="Arial" w:hint="default"/>
      </w:rPr>
    </w:lvl>
    <w:lvl w:ilvl="8" w:tplc="4F12D57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8D07F4"/>
    <w:multiLevelType w:val="hybridMultilevel"/>
    <w:tmpl w:val="86E0B9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D540A0"/>
    <w:multiLevelType w:val="hybridMultilevel"/>
    <w:tmpl w:val="0100BE36"/>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9" w15:restartNumberingAfterBreak="0">
    <w:nsid w:val="361213C0"/>
    <w:multiLevelType w:val="multilevel"/>
    <w:tmpl w:val="E53AA6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B4D99"/>
    <w:multiLevelType w:val="hybridMultilevel"/>
    <w:tmpl w:val="33AE1936"/>
    <w:lvl w:ilvl="0" w:tplc="878A20E4">
      <w:start w:val="1"/>
      <w:numFmt w:val="bullet"/>
      <w:lvlText w:val="•"/>
      <w:lvlJc w:val="left"/>
      <w:pPr>
        <w:tabs>
          <w:tab w:val="num" w:pos="720"/>
        </w:tabs>
        <w:ind w:left="720" w:hanging="360"/>
      </w:pPr>
      <w:rPr>
        <w:rFonts w:ascii="Arial" w:hAnsi="Arial" w:hint="default"/>
      </w:rPr>
    </w:lvl>
    <w:lvl w:ilvl="1" w:tplc="0AE4432E" w:tentative="1">
      <w:start w:val="1"/>
      <w:numFmt w:val="bullet"/>
      <w:lvlText w:val="•"/>
      <w:lvlJc w:val="left"/>
      <w:pPr>
        <w:tabs>
          <w:tab w:val="num" w:pos="1440"/>
        </w:tabs>
        <w:ind w:left="1440" w:hanging="360"/>
      </w:pPr>
      <w:rPr>
        <w:rFonts w:ascii="Arial" w:hAnsi="Arial" w:hint="default"/>
      </w:rPr>
    </w:lvl>
    <w:lvl w:ilvl="2" w:tplc="99F82EA8" w:tentative="1">
      <w:start w:val="1"/>
      <w:numFmt w:val="bullet"/>
      <w:lvlText w:val="•"/>
      <w:lvlJc w:val="left"/>
      <w:pPr>
        <w:tabs>
          <w:tab w:val="num" w:pos="2160"/>
        </w:tabs>
        <w:ind w:left="2160" w:hanging="360"/>
      </w:pPr>
      <w:rPr>
        <w:rFonts w:ascii="Arial" w:hAnsi="Arial" w:hint="default"/>
      </w:rPr>
    </w:lvl>
    <w:lvl w:ilvl="3" w:tplc="3BFC8FA4" w:tentative="1">
      <w:start w:val="1"/>
      <w:numFmt w:val="bullet"/>
      <w:lvlText w:val="•"/>
      <w:lvlJc w:val="left"/>
      <w:pPr>
        <w:tabs>
          <w:tab w:val="num" w:pos="2880"/>
        </w:tabs>
        <w:ind w:left="2880" w:hanging="360"/>
      </w:pPr>
      <w:rPr>
        <w:rFonts w:ascii="Arial" w:hAnsi="Arial" w:hint="default"/>
      </w:rPr>
    </w:lvl>
    <w:lvl w:ilvl="4" w:tplc="E872F80E" w:tentative="1">
      <w:start w:val="1"/>
      <w:numFmt w:val="bullet"/>
      <w:lvlText w:val="•"/>
      <w:lvlJc w:val="left"/>
      <w:pPr>
        <w:tabs>
          <w:tab w:val="num" w:pos="3600"/>
        </w:tabs>
        <w:ind w:left="3600" w:hanging="360"/>
      </w:pPr>
      <w:rPr>
        <w:rFonts w:ascii="Arial" w:hAnsi="Arial" w:hint="default"/>
      </w:rPr>
    </w:lvl>
    <w:lvl w:ilvl="5" w:tplc="E00A5D80" w:tentative="1">
      <w:start w:val="1"/>
      <w:numFmt w:val="bullet"/>
      <w:lvlText w:val="•"/>
      <w:lvlJc w:val="left"/>
      <w:pPr>
        <w:tabs>
          <w:tab w:val="num" w:pos="4320"/>
        </w:tabs>
        <w:ind w:left="4320" w:hanging="360"/>
      </w:pPr>
      <w:rPr>
        <w:rFonts w:ascii="Arial" w:hAnsi="Arial" w:hint="default"/>
      </w:rPr>
    </w:lvl>
    <w:lvl w:ilvl="6" w:tplc="59E072B8" w:tentative="1">
      <w:start w:val="1"/>
      <w:numFmt w:val="bullet"/>
      <w:lvlText w:val="•"/>
      <w:lvlJc w:val="left"/>
      <w:pPr>
        <w:tabs>
          <w:tab w:val="num" w:pos="5040"/>
        </w:tabs>
        <w:ind w:left="5040" w:hanging="360"/>
      </w:pPr>
      <w:rPr>
        <w:rFonts w:ascii="Arial" w:hAnsi="Arial" w:hint="default"/>
      </w:rPr>
    </w:lvl>
    <w:lvl w:ilvl="7" w:tplc="5606B54A" w:tentative="1">
      <w:start w:val="1"/>
      <w:numFmt w:val="bullet"/>
      <w:lvlText w:val="•"/>
      <w:lvlJc w:val="left"/>
      <w:pPr>
        <w:tabs>
          <w:tab w:val="num" w:pos="5760"/>
        </w:tabs>
        <w:ind w:left="5760" w:hanging="360"/>
      </w:pPr>
      <w:rPr>
        <w:rFonts w:ascii="Arial" w:hAnsi="Arial" w:hint="default"/>
      </w:rPr>
    </w:lvl>
    <w:lvl w:ilvl="8" w:tplc="8876A25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D337E81"/>
    <w:multiLevelType w:val="hybridMultilevel"/>
    <w:tmpl w:val="DCE83C84"/>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CF6AAF"/>
    <w:multiLevelType w:val="hybridMultilevel"/>
    <w:tmpl w:val="221867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16529C"/>
    <w:multiLevelType w:val="hybridMultilevel"/>
    <w:tmpl w:val="EDC087F8"/>
    <w:lvl w:ilvl="0" w:tplc="4009000B">
      <w:start w:val="1"/>
      <w:numFmt w:val="bullet"/>
      <w:lvlText w:val=""/>
      <w:lvlJc w:val="left"/>
      <w:pPr>
        <w:ind w:left="1380" w:hanging="360"/>
      </w:pPr>
      <w:rPr>
        <w:rFonts w:ascii="Wingdings" w:hAnsi="Wingdings"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14" w15:restartNumberingAfterBreak="0">
    <w:nsid w:val="41482DC4"/>
    <w:multiLevelType w:val="hybridMultilevel"/>
    <w:tmpl w:val="3DB46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D8115D"/>
    <w:multiLevelType w:val="hybridMultilevel"/>
    <w:tmpl w:val="8B9430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C034A0A"/>
    <w:multiLevelType w:val="hybridMultilevel"/>
    <w:tmpl w:val="890E3F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E214AC"/>
    <w:multiLevelType w:val="hybridMultilevel"/>
    <w:tmpl w:val="9D822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5F20C5"/>
    <w:multiLevelType w:val="hybridMultilevel"/>
    <w:tmpl w:val="B7E0A6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6845BF"/>
    <w:multiLevelType w:val="hybridMultilevel"/>
    <w:tmpl w:val="61F46A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E73400"/>
    <w:multiLevelType w:val="hybridMultilevel"/>
    <w:tmpl w:val="51D23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7F00D6"/>
    <w:multiLevelType w:val="hybridMultilevel"/>
    <w:tmpl w:val="C6764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0221A2"/>
    <w:multiLevelType w:val="hybridMultilevel"/>
    <w:tmpl w:val="B756DE26"/>
    <w:lvl w:ilvl="0" w:tplc="F7725124">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96545E7"/>
    <w:multiLevelType w:val="hybridMultilevel"/>
    <w:tmpl w:val="E1B2F6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BA7DA0"/>
    <w:multiLevelType w:val="hybridMultilevel"/>
    <w:tmpl w:val="5D90D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F132C5"/>
    <w:multiLevelType w:val="hybridMultilevel"/>
    <w:tmpl w:val="D9622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331C"/>
    <w:multiLevelType w:val="hybridMultilevel"/>
    <w:tmpl w:val="F698DF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5206BA"/>
    <w:multiLevelType w:val="hybridMultilevel"/>
    <w:tmpl w:val="7D2697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AA45451"/>
    <w:multiLevelType w:val="multilevel"/>
    <w:tmpl w:val="D12E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E27FD"/>
    <w:multiLevelType w:val="hybridMultilevel"/>
    <w:tmpl w:val="0190737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1A7E19"/>
    <w:multiLevelType w:val="hybridMultilevel"/>
    <w:tmpl w:val="9A4CDFE0"/>
    <w:lvl w:ilvl="0" w:tplc="40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02C179B"/>
    <w:multiLevelType w:val="hybridMultilevel"/>
    <w:tmpl w:val="7480D340"/>
    <w:lvl w:ilvl="0" w:tplc="04090001">
      <w:start w:val="1"/>
      <w:numFmt w:val="bullet"/>
      <w:lvlText w:val=""/>
      <w:lvlJc w:val="left"/>
      <w:pPr>
        <w:ind w:left="2100" w:hanging="360"/>
      </w:pPr>
      <w:rPr>
        <w:rFonts w:ascii="Symbol" w:hAnsi="Symbol"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abstractNum w:abstractNumId="32" w15:restartNumberingAfterBreak="0">
    <w:nsid w:val="7163344C"/>
    <w:multiLevelType w:val="hybridMultilevel"/>
    <w:tmpl w:val="FA5077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C65013"/>
    <w:multiLevelType w:val="hybridMultilevel"/>
    <w:tmpl w:val="C412663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77FD6570"/>
    <w:multiLevelType w:val="hybridMultilevel"/>
    <w:tmpl w:val="99B438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B0E1E52"/>
    <w:multiLevelType w:val="hybridMultilevel"/>
    <w:tmpl w:val="25BCE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BC4ACD"/>
    <w:multiLevelType w:val="hybridMultilevel"/>
    <w:tmpl w:val="D76A98A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17555989">
    <w:abstractNumId w:val="2"/>
  </w:num>
  <w:num w:numId="2" w16cid:durableId="842399808">
    <w:abstractNumId w:val="6"/>
  </w:num>
  <w:num w:numId="3" w16cid:durableId="634603705">
    <w:abstractNumId w:val="10"/>
  </w:num>
  <w:num w:numId="4" w16cid:durableId="1768384525">
    <w:abstractNumId w:val="14"/>
  </w:num>
  <w:num w:numId="5" w16cid:durableId="1903448586">
    <w:abstractNumId w:val="4"/>
  </w:num>
  <w:num w:numId="6" w16cid:durableId="1895701581">
    <w:abstractNumId w:val="21"/>
  </w:num>
  <w:num w:numId="7" w16cid:durableId="170150055">
    <w:abstractNumId w:val="17"/>
  </w:num>
  <w:num w:numId="8" w16cid:durableId="971323862">
    <w:abstractNumId w:val="19"/>
  </w:num>
  <w:num w:numId="9" w16cid:durableId="283930153">
    <w:abstractNumId w:val="7"/>
  </w:num>
  <w:num w:numId="10" w16cid:durableId="215623204">
    <w:abstractNumId w:val="26"/>
  </w:num>
  <w:num w:numId="11" w16cid:durableId="131406384">
    <w:abstractNumId w:val="22"/>
  </w:num>
  <w:num w:numId="12" w16cid:durableId="296030363">
    <w:abstractNumId w:val="16"/>
  </w:num>
  <w:num w:numId="13" w16cid:durableId="730883410">
    <w:abstractNumId w:val="28"/>
  </w:num>
  <w:num w:numId="14" w16cid:durableId="1963223541">
    <w:abstractNumId w:val="9"/>
  </w:num>
  <w:num w:numId="15" w16cid:durableId="81533907">
    <w:abstractNumId w:val="29"/>
  </w:num>
  <w:num w:numId="16" w16cid:durableId="1145506292">
    <w:abstractNumId w:val="5"/>
  </w:num>
  <w:num w:numId="17" w16cid:durableId="1758553727">
    <w:abstractNumId w:val="20"/>
  </w:num>
  <w:num w:numId="18" w16cid:durableId="1315646333">
    <w:abstractNumId w:val="1"/>
  </w:num>
  <w:num w:numId="19" w16cid:durableId="725569454">
    <w:abstractNumId w:val="0"/>
  </w:num>
  <w:num w:numId="20" w16cid:durableId="732317272">
    <w:abstractNumId w:val="33"/>
  </w:num>
  <w:num w:numId="21" w16cid:durableId="1890802205">
    <w:abstractNumId w:val="18"/>
  </w:num>
  <w:num w:numId="22" w16cid:durableId="1656643905">
    <w:abstractNumId w:val="3"/>
  </w:num>
  <w:num w:numId="23" w16cid:durableId="1873761925">
    <w:abstractNumId w:val="34"/>
  </w:num>
  <w:num w:numId="24" w16cid:durableId="828597964">
    <w:abstractNumId w:val="25"/>
  </w:num>
  <w:num w:numId="25" w16cid:durableId="616722108">
    <w:abstractNumId w:val="36"/>
  </w:num>
  <w:num w:numId="26" w16cid:durableId="1461412268">
    <w:abstractNumId w:val="23"/>
  </w:num>
  <w:num w:numId="27" w16cid:durableId="1932545624">
    <w:abstractNumId w:val="12"/>
  </w:num>
  <w:num w:numId="28" w16cid:durableId="512652915">
    <w:abstractNumId w:val="32"/>
  </w:num>
  <w:num w:numId="29" w16cid:durableId="1242256101">
    <w:abstractNumId w:val="27"/>
  </w:num>
  <w:num w:numId="30" w16cid:durableId="136534373">
    <w:abstractNumId w:val="15"/>
  </w:num>
  <w:num w:numId="31" w16cid:durableId="2093889983">
    <w:abstractNumId w:val="35"/>
  </w:num>
  <w:num w:numId="32" w16cid:durableId="1457597221">
    <w:abstractNumId w:val="30"/>
  </w:num>
  <w:num w:numId="33" w16cid:durableId="1283800309">
    <w:abstractNumId w:val="13"/>
  </w:num>
  <w:num w:numId="34" w16cid:durableId="37318092">
    <w:abstractNumId w:val="31"/>
  </w:num>
  <w:num w:numId="35" w16cid:durableId="1706952114">
    <w:abstractNumId w:val="8"/>
  </w:num>
  <w:num w:numId="36" w16cid:durableId="1046493917">
    <w:abstractNumId w:val="24"/>
  </w:num>
  <w:num w:numId="37" w16cid:durableId="12539028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C8E"/>
    <w:rsid w:val="00010174"/>
    <w:rsid w:val="0002617C"/>
    <w:rsid w:val="00040FF6"/>
    <w:rsid w:val="000610F2"/>
    <w:rsid w:val="0013282B"/>
    <w:rsid w:val="001A637F"/>
    <w:rsid w:val="001B25BF"/>
    <w:rsid w:val="00223686"/>
    <w:rsid w:val="0027313B"/>
    <w:rsid w:val="002A5BD5"/>
    <w:rsid w:val="00360815"/>
    <w:rsid w:val="003C5389"/>
    <w:rsid w:val="004C19E8"/>
    <w:rsid w:val="004C54A9"/>
    <w:rsid w:val="005250A0"/>
    <w:rsid w:val="005669B8"/>
    <w:rsid w:val="006218F5"/>
    <w:rsid w:val="00763BC7"/>
    <w:rsid w:val="007C5B93"/>
    <w:rsid w:val="008561A2"/>
    <w:rsid w:val="008B57DD"/>
    <w:rsid w:val="008B6532"/>
    <w:rsid w:val="00905D9B"/>
    <w:rsid w:val="009421C4"/>
    <w:rsid w:val="00944C6B"/>
    <w:rsid w:val="009803D6"/>
    <w:rsid w:val="00A4558F"/>
    <w:rsid w:val="00B332EE"/>
    <w:rsid w:val="00B95CFE"/>
    <w:rsid w:val="00BB4D7B"/>
    <w:rsid w:val="00C54C8E"/>
    <w:rsid w:val="00C97B06"/>
    <w:rsid w:val="00CE26C8"/>
    <w:rsid w:val="00D129A3"/>
    <w:rsid w:val="00D17B9C"/>
    <w:rsid w:val="00D17C0D"/>
    <w:rsid w:val="00D6147E"/>
    <w:rsid w:val="00E006C2"/>
    <w:rsid w:val="00EE133B"/>
    <w:rsid w:val="00F1332B"/>
    <w:rsid w:val="00F30451"/>
    <w:rsid w:val="00F65B1E"/>
    <w:rsid w:val="00F925D5"/>
    <w:rsid w:val="00FF3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EBC53"/>
  <w15:chartTrackingRefBased/>
  <w15:docId w15:val="{5F3DA4A3-6AD9-47DE-82BA-0F7E7D61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4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C8E"/>
  </w:style>
  <w:style w:type="paragraph" w:styleId="Footer">
    <w:name w:val="footer"/>
    <w:basedOn w:val="Normal"/>
    <w:link w:val="FooterChar"/>
    <w:uiPriority w:val="99"/>
    <w:unhideWhenUsed/>
    <w:rsid w:val="00C54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C8E"/>
  </w:style>
  <w:style w:type="table" w:styleId="TableGrid">
    <w:name w:val="Table Grid"/>
    <w:basedOn w:val="TableNormal"/>
    <w:uiPriority w:val="39"/>
    <w:rsid w:val="008B5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5B93"/>
    <w:pPr>
      <w:ind w:left="720"/>
      <w:contextualSpacing/>
    </w:pPr>
  </w:style>
  <w:style w:type="character" w:styleId="Strong">
    <w:name w:val="Strong"/>
    <w:basedOn w:val="DefaultParagraphFont"/>
    <w:uiPriority w:val="22"/>
    <w:qFormat/>
    <w:rsid w:val="00D17B9C"/>
    <w:rPr>
      <w:b/>
      <w:bCs/>
    </w:rPr>
  </w:style>
  <w:style w:type="character" w:styleId="Emphasis">
    <w:name w:val="Emphasis"/>
    <w:basedOn w:val="DefaultParagraphFont"/>
    <w:uiPriority w:val="20"/>
    <w:qFormat/>
    <w:rsid w:val="003C5389"/>
    <w:rPr>
      <w:i/>
      <w:iCs/>
    </w:rPr>
  </w:style>
  <w:style w:type="paragraph" w:styleId="NormalWeb">
    <w:name w:val="Normal (Web)"/>
    <w:basedOn w:val="Normal"/>
    <w:uiPriority w:val="99"/>
    <w:semiHidden/>
    <w:unhideWhenUsed/>
    <w:rsid w:val="001A637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8893">
      <w:bodyDiv w:val="1"/>
      <w:marLeft w:val="0"/>
      <w:marRight w:val="0"/>
      <w:marTop w:val="0"/>
      <w:marBottom w:val="0"/>
      <w:divBdr>
        <w:top w:val="none" w:sz="0" w:space="0" w:color="auto"/>
        <w:left w:val="none" w:sz="0" w:space="0" w:color="auto"/>
        <w:bottom w:val="none" w:sz="0" w:space="0" w:color="auto"/>
        <w:right w:val="none" w:sz="0" w:space="0" w:color="auto"/>
      </w:divBdr>
      <w:divsChild>
        <w:div w:id="1567954302">
          <w:marLeft w:val="547"/>
          <w:marRight w:val="0"/>
          <w:marTop w:val="0"/>
          <w:marBottom w:val="0"/>
          <w:divBdr>
            <w:top w:val="none" w:sz="0" w:space="0" w:color="auto"/>
            <w:left w:val="none" w:sz="0" w:space="0" w:color="auto"/>
            <w:bottom w:val="none" w:sz="0" w:space="0" w:color="auto"/>
            <w:right w:val="none" w:sz="0" w:space="0" w:color="auto"/>
          </w:divBdr>
        </w:div>
      </w:divsChild>
    </w:div>
    <w:div w:id="63995066">
      <w:bodyDiv w:val="1"/>
      <w:marLeft w:val="0"/>
      <w:marRight w:val="0"/>
      <w:marTop w:val="0"/>
      <w:marBottom w:val="0"/>
      <w:divBdr>
        <w:top w:val="none" w:sz="0" w:space="0" w:color="auto"/>
        <w:left w:val="none" w:sz="0" w:space="0" w:color="auto"/>
        <w:bottom w:val="none" w:sz="0" w:space="0" w:color="auto"/>
        <w:right w:val="none" w:sz="0" w:space="0" w:color="auto"/>
      </w:divBdr>
    </w:div>
    <w:div w:id="289869275">
      <w:bodyDiv w:val="1"/>
      <w:marLeft w:val="0"/>
      <w:marRight w:val="0"/>
      <w:marTop w:val="0"/>
      <w:marBottom w:val="0"/>
      <w:divBdr>
        <w:top w:val="none" w:sz="0" w:space="0" w:color="auto"/>
        <w:left w:val="none" w:sz="0" w:space="0" w:color="auto"/>
        <w:bottom w:val="none" w:sz="0" w:space="0" w:color="auto"/>
        <w:right w:val="none" w:sz="0" w:space="0" w:color="auto"/>
      </w:divBdr>
    </w:div>
    <w:div w:id="290483326">
      <w:bodyDiv w:val="1"/>
      <w:marLeft w:val="0"/>
      <w:marRight w:val="0"/>
      <w:marTop w:val="0"/>
      <w:marBottom w:val="0"/>
      <w:divBdr>
        <w:top w:val="none" w:sz="0" w:space="0" w:color="auto"/>
        <w:left w:val="none" w:sz="0" w:space="0" w:color="auto"/>
        <w:bottom w:val="none" w:sz="0" w:space="0" w:color="auto"/>
        <w:right w:val="none" w:sz="0" w:space="0" w:color="auto"/>
      </w:divBdr>
    </w:div>
    <w:div w:id="580411724">
      <w:bodyDiv w:val="1"/>
      <w:marLeft w:val="0"/>
      <w:marRight w:val="0"/>
      <w:marTop w:val="0"/>
      <w:marBottom w:val="0"/>
      <w:divBdr>
        <w:top w:val="none" w:sz="0" w:space="0" w:color="auto"/>
        <w:left w:val="none" w:sz="0" w:space="0" w:color="auto"/>
        <w:bottom w:val="none" w:sz="0" w:space="0" w:color="auto"/>
        <w:right w:val="none" w:sz="0" w:space="0" w:color="auto"/>
      </w:divBdr>
    </w:div>
    <w:div w:id="634800708">
      <w:bodyDiv w:val="1"/>
      <w:marLeft w:val="0"/>
      <w:marRight w:val="0"/>
      <w:marTop w:val="0"/>
      <w:marBottom w:val="0"/>
      <w:divBdr>
        <w:top w:val="none" w:sz="0" w:space="0" w:color="auto"/>
        <w:left w:val="none" w:sz="0" w:space="0" w:color="auto"/>
        <w:bottom w:val="none" w:sz="0" w:space="0" w:color="auto"/>
        <w:right w:val="none" w:sz="0" w:space="0" w:color="auto"/>
      </w:divBdr>
    </w:div>
    <w:div w:id="768818841">
      <w:bodyDiv w:val="1"/>
      <w:marLeft w:val="0"/>
      <w:marRight w:val="0"/>
      <w:marTop w:val="0"/>
      <w:marBottom w:val="0"/>
      <w:divBdr>
        <w:top w:val="none" w:sz="0" w:space="0" w:color="auto"/>
        <w:left w:val="none" w:sz="0" w:space="0" w:color="auto"/>
        <w:bottom w:val="none" w:sz="0" w:space="0" w:color="auto"/>
        <w:right w:val="none" w:sz="0" w:space="0" w:color="auto"/>
      </w:divBdr>
    </w:div>
    <w:div w:id="1015961481">
      <w:bodyDiv w:val="1"/>
      <w:marLeft w:val="0"/>
      <w:marRight w:val="0"/>
      <w:marTop w:val="0"/>
      <w:marBottom w:val="0"/>
      <w:divBdr>
        <w:top w:val="none" w:sz="0" w:space="0" w:color="auto"/>
        <w:left w:val="none" w:sz="0" w:space="0" w:color="auto"/>
        <w:bottom w:val="none" w:sz="0" w:space="0" w:color="auto"/>
        <w:right w:val="none" w:sz="0" w:space="0" w:color="auto"/>
      </w:divBdr>
    </w:div>
    <w:div w:id="1350984309">
      <w:bodyDiv w:val="1"/>
      <w:marLeft w:val="0"/>
      <w:marRight w:val="0"/>
      <w:marTop w:val="0"/>
      <w:marBottom w:val="0"/>
      <w:divBdr>
        <w:top w:val="none" w:sz="0" w:space="0" w:color="auto"/>
        <w:left w:val="none" w:sz="0" w:space="0" w:color="auto"/>
        <w:bottom w:val="none" w:sz="0" w:space="0" w:color="auto"/>
        <w:right w:val="none" w:sz="0" w:space="0" w:color="auto"/>
      </w:divBdr>
    </w:div>
    <w:div w:id="1381443241">
      <w:bodyDiv w:val="1"/>
      <w:marLeft w:val="0"/>
      <w:marRight w:val="0"/>
      <w:marTop w:val="0"/>
      <w:marBottom w:val="0"/>
      <w:divBdr>
        <w:top w:val="none" w:sz="0" w:space="0" w:color="auto"/>
        <w:left w:val="none" w:sz="0" w:space="0" w:color="auto"/>
        <w:bottom w:val="none" w:sz="0" w:space="0" w:color="auto"/>
        <w:right w:val="none" w:sz="0" w:space="0" w:color="auto"/>
      </w:divBdr>
    </w:div>
    <w:div w:id="1411585536">
      <w:bodyDiv w:val="1"/>
      <w:marLeft w:val="0"/>
      <w:marRight w:val="0"/>
      <w:marTop w:val="0"/>
      <w:marBottom w:val="0"/>
      <w:divBdr>
        <w:top w:val="none" w:sz="0" w:space="0" w:color="auto"/>
        <w:left w:val="none" w:sz="0" w:space="0" w:color="auto"/>
        <w:bottom w:val="none" w:sz="0" w:space="0" w:color="auto"/>
        <w:right w:val="none" w:sz="0" w:space="0" w:color="auto"/>
      </w:divBdr>
    </w:div>
    <w:div w:id="1634603116">
      <w:bodyDiv w:val="1"/>
      <w:marLeft w:val="0"/>
      <w:marRight w:val="0"/>
      <w:marTop w:val="0"/>
      <w:marBottom w:val="0"/>
      <w:divBdr>
        <w:top w:val="none" w:sz="0" w:space="0" w:color="auto"/>
        <w:left w:val="none" w:sz="0" w:space="0" w:color="auto"/>
        <w:bottom w:val="none" w:sz="0" w:space="0" w:color="auto"/>
        <w:right w:val="none" w:sz="0" w:space="0" w:color="auto"/>
      </w:divBdr>
      <w:divsChild>
        <w:div w:id="122122527">
          <w:marLeft w:val="547"/>
          <w:marRight w:val="0"/>
          <w:marTop w:val="0"/>
          <w:marBottom w:val="0"/>
          <w:divBdr>
            <w:top w:val="none" w:sz="0" w:space="0" w:color="auto"/>
            <w:left w:val="none" w:sz="0" w:space="0" w:color="auto"/>
            <w:bottom w:val="none" w:sz="0" w:space="0" w:color="auto"/>
            <w:right w:val="none" w:sz="0" w:space="0" w:color="auto"/>
          </w:divBdr>
        </w:div>
      </w:divsChild>
    </w:div>
    <w:div w:id="1932543093">
      <w:bodyDiv w:val="1"/>
      <w:marLeft w:val="0"/>
      <w:marRight w:val="0"/>
      <w:marTop w:val="0"/>
      <w:marBottom w:val="0"/>
      <w:divBdr>
        <w:top w:val="none" w:sz="0" w:space="0" w:color="auto"/>
        <w:left w:val="none" w:sz="0" w:space="0" w:color="auto"/>
        <w:bottom w:val="none" w:sz="0" w:space="0" w:color="auto"/>
        <w:right w:val="none" w:sz="0" w:space="0" w:color="auto"/>
      </w:divBdr>
      <w:divsChild>
        <w:div w:id="619799245">
          <w:marLeft w:val="547"/>
          <w:marRight w:val="0"/>
          <w:marTop w:val="0"/>
          <w:marBottom w:val="0"/>
          <w:divBdr>
            <w:top w:val="none" w:sz="0" w:space="0" w:color="auto"/>
            <w:left w:val="none" w:sz="0" w:space="0" w:color="auto"/>
            <w:bottom w:val="none" w:sz="0" w:space="0" w:color="auto"/>
            <w:right w:val="none" w:sz="0" w:space="0" w:color="auto"/>
          </w:divBdr>
        </w:div>
      </w:divsChild>
    </w:div>
    <w:div w:id="2027518955">
      <w:bodyDiv w:val="1"/>
      <w:marLeft w:val="0"/>
      <w:marRight w:val="0"/>
      <w:marTop w:val="0"/>
      <w:marBottom w:val="0"/>
      <w:divBdr>
        <w:top w:val="none" w:sz="0" w:space="0" w:color="auto"/>
        <w:left w:val="none" w:sz="0" w:space="0" w:color="auto"/>
        <w:bottom w:val="none" w:sz="0" w:space="0" w:color="auto"/>
        <w:right w:val="none" w:sz="0" w:space="0" w:color="auto"/>
      </w:divBdr>
    </w:div>
    <w:div w:id="2045204139">
      <w:bodyDiv w:val="1"/>
      <w:marLeft w:val="0"/>
      <w:marRight w:val="0"/>
      <w:marTop w:val="0"/>
      <w:marBottom w:val="0"/>
      <w:divBdr>
        <w:top w:val="none" w:sz="0" w:space="0" w:color="auto"/>
        <w:left w:val="none" w:sz="0" w:space="0" w:color="auto"/>
        <w:bottom w:val="none" w:sz="0" w:space="0" w:color="auto"/>
        <w:right w:val="none" w:sz="0" w:space="0" w:color="auto"/>
      </w:divBdr>
    </w:div>
    <w:div w:id="210903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ownloads\world_tourism_economy_data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ownloads\world_tourism_economy_data5.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Downloads\world_tourism_economy_data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P\Downloads\world_tourism_economy_data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P\Downloads\world_tourism_economy_data5.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[world_tourism_economy_data5.xlsx]Sheet2 (2)!PivotTable2</c:name>
    <c:fmtId val="-1"/>
  </c:pivotSource>
  <c:chart>
    <c:title>
      <c:tx>
        <c:rich>
          <a:bodyPr rot="0" spcFirstLastPara="1" vertOverflow="ellipsis" vert="horz" wrap="square" anchor="ctr" anchorCtr="1"/>
          <a:lstStyle/>
          <a:p>
            <a:pPr>
              <a:defRPr sz="1400" b="1" i="0" u="none" strike="noStrike" kern="1200" spc="0" baseline="0">
                <a:solidFill>
                  <a:schemeClr val="bg1"/>
                </a:solidFill>
                <a:latin typeface="+mn-lt"/>
                <a:ea typeface="+mn-ea"/>
                <a:cs typeface="+mn-cs"/>
              </a:defRPr>
            </a:pPr>
            <a:r>
              <a:rPr lang="en-US" sz="1200" b="1">
                <a:solidFill>
                  <a:schemeClr val="bg1"/>
                </a:solidFill>
              </a:rPr>
              <a:t>Country</a:t>
            </a:r>
            <a:r>
              <a:rPr lang="en-US" sz="1200" b="1" baseline="0">
                <a:solidFill>
                  <a:schemeClr val="bg1"/>
                </a:solidFill>
              </a:rPr>
              <a:t> wise Dependency on Tourism Exports(%)</a:t>
            </a:r>
            <a:endParaRPr lang="en-US" sz="1200" b="1">
              <a:solidFill>
                <a:schemeClr val="bg1"/>
              </a:solidFill>
            </a:endParaRPr>
          </a:p>
        </c:rich>
      </c:tx>
      <c:layout>
        <c:manualLayout>
          <c:xMode val="edge"/>
          <c:yMode val="edge"/>
          <c:x val="0.13357470503103"/>
          <c:y val="0"/>
        </c:manualLayout>
      </c:layout>
      <c:overlay val="0"/>
      <c:spPr>
        <a:solidFill>
          <a:srgbClr val="0070C0"/>
        </a:solidFill>
        <a:ln>
          <a:noFill/>
        </a:ln>
        <a:effectLst/>
      </c:spPr>
      <c:txPr>
        <a:bodyPr rot="0" spcFirstLastPara="1" vertOverflow="ellipsis" vert="horz" wrap="square" anchor="ctr" anchorCtr="1"/>
        <a:lstStyle/>
        <a:p>
          <a:pPr>
            <a:defRPr sz="1400" b="1"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tx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tx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tx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9128503745774947"/>
          <c:y val="0.17536998387249786"/>
          <c:w val="0.65097358157333141"/>
          <c:h val="0.70817284887581811"/>
        </c:manualLayout>
      </c:layout>
      <c:barChart>
        <c:barDir val="bar"/>
        <c:grouping val="clustered"/>
        <c:varyColors val="0"/>
        <c:ser>
          <c:idx val="0"/>
          <c:order val="0"/>
          <c:tx>
            <c:strRef>
              <c:f>'Sheet2 (2)'!$B$3</c:f>
              <c:strCache>
                <c:ptCount val="1"/>
                <c:pt idx="0">
                  <c:v>Total</c:v>
                </c:pt>
              </c:strCache>
            </c:strRef>
          </c:tx>
          <c:spPr>
            <a:solidFill>
              <a:schemeClr val="tx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 (2)'!$A$4:$A$14</c:f>
              <c:strCache>
                <c:ptCount val="10"/>
                <c:pt idx="0">
                  <c:v>Africa Eastern and Southern</c:v>
                </c:pt>
                <c:pt idx="1">
                  <c:v>Antigua and Barbuda</c:v>
                </c:pt>
                <c:pt idx="2">
                  <c:v>Arab World</c:v>
                </c:pt>
                <c:pt idx="3">
                  <c:v>Argentina</c:v>
                </c:pt>
                <c:pt idx="4">
                  <c:v>Armenia</c:v>
                </c:pt>
                <c:pt idx="5">
                  <c:v>Australia</c:v>
                </c:pt>
                <c:pt idx="6">
                  <c:v>Austria</c:v>
                </c:pt>
                <c:pt idx="7">
                  <c:v>Belgium</c:v>
                </c:pt>
                <c:pt idx="8">
                  <c:v>India</c:v>
                </c:pt>
                <c:pt idx="9">
                  <c:v>United Arab Emirates</c:v>
                </c:pt>
              </c:strCache>
            </c:strRef>
          </c:cat>
          <c:val>
            <c:numRef>
              <c:f>'Sheet2 (2)'!$B$4:$B$14</c:f>
              <c:numCache>
                <c:formatCode>#,##0.00</c:formatCode>
                <c:ptCount val="10"/>
                <c:pt idx="0">
                  <c:v>9.9701149470433474</c:v>
                </c:pt>
                <c:pt idx="1">
                  <c:v>79.545184575010296</c:v>
                </c:pt>
                <c:pt idx="2">
                  <c:v>9.3340155822844952</c:v>
                </c:pt>
                <c:pt idx="3">
                  <c:v>7.8474349246598916</c:v>
                </c:pt>
                <c:pt idx="4">
                  <c:v>29.657938271487176</c:v>
                </c:pt>
                <c:pt idx="5">
                  <c:v>13.201213588898675</c:v>
                </c:pt>
                <c:pt idx="6">
                  <c:v>10.048868202028016</c:v>
                </c:pt>
                <c:pt idx="7">
                  <c:v>2.399817230228805</c:v>
                </c:pt>
                <c:pt idx="8">
                  <c:v>5.0336368471390376</c:v>
                </c:pt>
                <c:pt idx="9">
                  <c:v>7.8456206837734896</c:v>
                </c:pt>
              </c:numCache>
            </c:numRef>
          </c:val>
          <c:extLst>
            <c:ext xmlns:c16="http://schemas.microsoft.com/office/drawing/2014/chart" uri="{C3380CC4-5D6E-409C-BE32-E72D297353CC}">
              <c16:uniqueId val="{00000000-677C-4B6B-9552-3C6A05CF00BB}"/>
            </c:ext>
          </c:extLst>
        </c:ser>
        <c:dLbls>
          <c:dLblPos val="outEnd"/>
          <c:showLegendKey val="0"/>
          <c:showVal val="1"/>
          <c:showCatName val="0"/>
          <c:showSerName val="0"/>
          <c:showPercent val="0"/>
          <c:showBubbleSize val="0"/>
        </c:dLbls>
        <c:gapWidth val="182"/>
        <c:axId val="1469639695"/>
        <c:axId val="849741167"/>
      </c:barChart>
      <c:catAx>
        <c:axId val="146963969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849741167"/>
        <c:crosses val="autoZero"/>
        <c:auto val="1"/>
        <c:lblAlgn val="ctr"/>
        <c:lblOffset val="100"/>
        <c:noMultiLvlLbl val="0"/>
      </c:catAx>
      <c:valAx>
        <c:axId val="849741167"/>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469639695"/>
        <c:crosses val="autoZero"/>
        <c:crossBetween val="between"/>
      </c:valAx>
      <c:spPr>
        <a:solidFill>
          <a:schemeClr val="accent5">
            <a:lumMod val="60000"/>
            <a:lumOff val="40000"/>
          </a:schemeClr>
        </a:soli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1">
        <a:lumMod val="40000"/>
        <a:lumOff val="60000"/>
      </a:schemeClr>
    </a:solidFill>
    <a:ln w="9525" cap="flat" cmpd="sng" algn="ctr">
      <a:solidFill>
        <a:schemeClr val="tx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solidFill>
                <a:latin typeface="+mn-lt"/>
                <a:ea typeface="+mn-ea"/>
                <a:cs typeface="+mn-cs"/>
              </a:defRPr>
            </a:pPr>
            <a:r>
              <a:rPr lang="en-US" sz="1200"/>
              <a:t>Tourism</a:t>
            </a:r>
            <a:r>
              <a:rPr lang="en-US" sz="1200" baseline="0"/>
              <a:t> arrivals vs Tourism income</a:t>
            </a:r>
            <a:endParaRPr lang="en-US" sz="1200"/>
          </a:p>
        </c:rich>
      </c:tx>
      <c:layout>
        <c:manualLayout>
          <c:xMode val="edge"/>
          <c:yMode val="edge"/>
          <c:x val="0.31794982696793372"/>
          <c:y val="1.0033446137182489E-2"/>
        </c:manualLayout>
      </c:layout>
      <c:overlay val="0"/>
      <c:spPr>
        <a:solidFill>
          <a:schemeClr val="accent1">
            <a:lumMod val="20000"/>
            <a:lumOff val="80000"/>
          </a:schemeClr>
        </a:solidFill>
        <a:ln>
          <a:noFill/>
        </a:ln>
        <a:effectLst/>
      </c:spPr>
      <c:txPr>
        <a:bodyPr rot="0" spcFirstLastPara="1" vertOverflow="ellipsis" vert="horz" wrap="square" anchor="ctr" anchorCtr="1"/>
        <a:lstStyle/>
        <a:p>
          <a:pPr>
            <a:defRPr sz="120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18724765286560388"/>
          <c:y val="0.13235340009393518"/>
          <c:w val="0.71911937039980089"/>
          <c:h val="0.81781093152829587"/>
        </c:manualLayout>
      </c:layout>
      <c:scatterChart>
        <c:scatterStyle val="lineMarker"/>
        <c:varyColors val="0"/>
        <c:ser>
          <c:idx val="0"/>
          <c:order val="0"/>
          <c:tx>
            <c:strRef>
              <c:f>'Sheet2 (3)'!$G$3</c:f>
              <c:strCache>
                <c:ptCount val="1"/>
                <c:pt idx="0">
                  <c:v>Sum of tourism_arrivals</c:v>
                </c:pt>
              </c:strCache>
            </c:strRef>
          </c:tx>
          <c:spPr>
            <a:ln w="19050" cap="rnd">
              <a:noFill/>
              <a:round/>
            </a:ln>
            <a:effectLst/>
          </c:spPr>
          <c:marker>
            <c:symbol val="circle"/>
            <c:size val="5"/>
            <c:spPr>
              <a:solidFill>
                <a:srgbClr val="FF0000"/>
              </a:solidFill>
              <a:ln w="19050" cap="rnd">
                <a:solidFill>
                  <a:srgbClr val="002060"/>
                </a:solidFill>
              </a:ln>
              <a:effectLst/>
            </c:spPr>
          </c:marker>
          <c:trendline>
            <c:spPr>
              <a:ln w="22225" cap="rnd">
                <a:solidFill>
                  <a:schemeClr val="tx1"/>
                </a:solidFill>
                <a:prstDash val="dash"/>
              </a:ln>
              <a:effectLst/>
            </c:spPr>
            <c:trendlineType val="linear"/>
            <c:dispRSqr val="0"/>
            <c:dispEq val="0"/>
          </c:trendline>
          <c:trendline>
            <c:spPr>
              <a:ln w="19050" cap="rnd">
                <a:solidFill>
                  <a:schemeClr val="accent1"/>
                </a:solidFill>
                <a:prstDash val="sysDot"/>
              </a:ln>
              <a:effectLst/>
            </c:spPr>
            <c:trendlineType val="linear"/>
            <c:dispRSqr val="0"/>
            <c:dispEq val="0"/>
          </c:trendline>
          <c:xVal>
            <c:numRef>
              <c:f>'Sheet2 (3)'!$F$4:$F$24</c:f>
              <c:numCache>
                <c:formatCode>#,##0</c:formatCode>
                <c:ptCount val="10"/>
                <c:pt idx="0">
                  <c:v>354034463173.46002</c:v>
                </c:pt>
                <c:pt idx="1">
                  <c:v>9693000000</c:v>
                </c:pt>
                <c:pt idx="2">
                  <c:v>1093640210386.4454</c:v>
                </c:pt>
                <c:pt idx="3">
                  <c:v>82610000000</c:v>
                </c:pt>
                <c:pt idx="4">
                  <c:v>9487000000</c:v>
                </c:pt>
                <c:pt idx="5">
                  <c:v>386954000000</c:v>
                </c:pt>
                <c:pt idx="6">
                  <c:v>206765000000</c:v>
                </c:pt>
                <c:pt idx="7">
                  <c:v>84996000000</c:v>
                </c:pt>
                <c:pt idx="8">
                  <c:v>241777000000</c:v>
                </c:pt>
                <c:pt idx="9">
                  <c:v>176560000000</c:v>
                </c:pt>
              </c:numCache>
            </c:numRef>
          </c:xVal>
          <c:yVal>
            <c:numRef>
              <c:f>'Sheet2 (3)'!$G$4:$G$24</c:f>
              <c:numCache>
                <c:formatCode>#,##0</c:formatCode>
                <c:ptCount val="10"/>
                <c:pt idx="0">
                  <c:v>494409504.11100274</c:v>
                </c:pt>
                <c:pt idx="1">
                  <c:v>10391000</c:v>
                </c:pt>
                <c:pt idx="2">
                  <c:v>1962879062.2584651</c:v>
                </c:pt>
                <c:pt idx="3">
                  <c:v>93135000</c:v>
                </c:pt>
                <c:pt idx="4">
                  <c:v>10666000</c:v>
                </c:pt>
                <c:pt idx="5">
                  <c:v>77782000</c:v>
                </c:pt>
                <c:pt idx="6">
                  <c:v>244553000</c:v>
                </c:pt>
                <c:pt idx="7">
                  <c:v>54846000</c:v>
                </c:pt>
                <c:pt idx="8">
                  <c:v>122269000</c:v>
                </c:pt>
                <c:pt idx="9">
                  <c:v>371020000</c:v>
                </c:pt>
              </c:numCache>
            </c:numRef>
          </c:yVal>
          <c:smooth val="0"/>
          <c:extLst>
            <c:ext xmlns:c16="http://schemas.microsoft.com/office/drawing/2014/chart" uri="{C3380CC4-5D6E-409C-BE32-E72D297353CC}">
              <c16:uniqueId val="{00000002-CD71-4BB4-B312-5C6DC921E0FD}"/>
            </c:ext>
          </c:extLst>
        </c:ser>
        <c:dLbls>
          <c:showLegendKey val="0"/>
          <c:showVal val="0"/>
          <c:showCatName val="0"/>
          <c:showSerName val="0"/>
          <c:showPercent val="0"/>
          <c:showBubbleSize val="0"/>
        </c:dLbls>
        <c:axId val="1878080623"/>
        <c:axId val="1881686895"/>
      </c:scatterChart>
      <c:valAx>
        <c:axId val="1878080623"/>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1881686895"/>
        <c:crosses val="autoZero"/>
        <c:crossBetween val="midCat"/>
      </c:valAx>
      <c:valAx>
        <c:axId val="188168689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878080623"/>
        <c:crosses val="autoZero"/>
        <c:crossBetween val="midCat"/>
      </c:valAx>
      <c:spPr>
        <a:solidFill>
          <a:schemeClr val="lt1"/>
        </a:solidFill>
        <a:ln w="12700" cap="flat" cmpd="sng" algn="ctr">
          <a:solidFill>
            <a:schemeClr val="dk1"/>
          </a:solidFill>
          <a:prstDash val="solid"/>
          <a:miter lim="800000"/>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5">
        <a:lumMod val="60000"/>
        <a:lumOff val="4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[world_tourism_economy_data5.xlsx]Tourism Exports by Country!PivotTable2</c:name>
    <c:fmtId val="-1"/>
  </c:pivotSource>
  <c:chart>
    <c:title>
      <c:tx>
        <c:rich>
          <a:bodyPr rot="0" spcFirstLastPara="1" vertOverflow="ellipsis" vert="horz" wrap="square" anchor="ctr" anchorCtr="1"/>
          <a:lstStyle/>
          <a:p>
            <a:pPr>
              <a:defRPr sz="1200" b="1" i="0" u="none" strike="noStrike" kern="1200" spc="0" baseline="0">
                <a:solidFill>
                  <a:schemeClr val="bg1"/>
                </a:solidFill>
                <a:latin typeface="+mn-lt"/>
                <a:ea typeface="+mn-ea"/>
                <a:cs typeface="+mn-cs"/>
              </a:defRPr>
            </a:pPr>
            <a:r>
              <a:rPr lang="en-US" sz="1200" b="1">
                <a:solidFill>
                  <a:schemeClr val="bg1"/>
                </a:solidFill>
              </a:rPr>
              <a:t>Unemployment</a:t>
            </a:r>
            <a:r>
              <a:rPr lang="en-US" sz="1200" b="1" baseline="0">
                <a:solidFill>
                  <a:schemeClr val="bg1"/>
                </a:solidFill>
              </a:rPr>
              <a:t> Distribution</a:t>
            </a:r>
            <a:endParaRPr lang="en-US" sz="1200" b="1">
              <a:solidFill>
                <a:schemeClr val="bg1"/>
              </a:solidFill>
            </a:endParaRPr>
          </a:p>
        </c:rich>
      </c:tx>
      <c:layout>
        <c:manualLayout>
          <c:xMode val="edge"/>
          <c:yMode val="edge"/>
          <c:x val="0.32181881781771909"/>
          <c:y val="1.8786179124869666E-4"/>
        </c:manualLayout>
      </c:layout>
      <c:overlay val="0"/>
      <c:spPr>
        <a:solidFill>
          <a:srgbClr val="0070C0"/>
        </a:solidFill>
        <a:ln>
          <a:noFill/>
        </a:ln>
        <a:effectLst/>
      </c:spPr>
      <c:txPr>
        <a:bodyPr rot="0" spcFirstLastPara="1" vertOverflow="ellipsis" vert="horz" wrap="square" anchor="ctr" anchorCtr="1"/>
        <a:lstStyle/>
        <a:p>
          <a:pPr>
            <a:defRPr sz="1200" b="1"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
        <c:idx val="33"/>
        <c:spPr>
          <a:solidFill>
            <a:schemeClr val="accent1"/>
          </a:solidFill>
          <a:ln w="19050">
            <a:solidFill>
              <a:schemeClr val="lt1"/>
            </a:solidFill>
          </a:ln>
          <a:effectLst/>
        </c:spPr>
      </c:pivotFmt>
      <c:pivotFmt>
        <c:idx val="34"/>
        <c:spPr>
          <a:solidFill>
            <a:schemeClr val="accent1"/>
          </a:solidFill>
          <a:ln w="19050">
            <a:solidFill>
              <a:schemeClr val="lt1"/>
            </a:solidFill>
          </a:ln>
          <a:effectLst/>
        </c:spPr>
      </c:pivotFmt>
      <c:pivotFmt>
        <c:idx val="35"/>
        <c:spPr>
          <a:solidFill>
            <a:schemeClr val="accent1"/>
          </a:solidFill>
          <a:ln w="19050">
            <a:solidFill>
              <a:schemeClr val="lt1"/>
            </a:solidFill>
          </a:ln>
          <a:effectLst/>
        </c:spPr>
      </c:pivotFmt>
      <c:pivotFmt>
        <c:idx val="36"/>
        <c:spPr>
          <a:solidFill>
            <a:schemeClr val="accent1"/>
          </a:solidFill>
          <a:ln w="19050">
            <a:solidFill>
              <a:schemeClr val="lt1"/>
            </a:solidFill>
          </a:ln>
          <a:effectLst/>
        </c:spPr>
      </c:pivotFmt>
      <c:pivotFmt>
        <c:idx val="37"/>
        <c:spPr>
          <a:solidFill>
            <a:schemeClr val="accent1"/>
          </a:solidFill>
          <a:ln w="19050">
            <a:solidFill>
              <a:schemeClr val="lt1"/>
            </a:solidFill>
          </a:ln>
          <a:effectLst/>
        </c:spPr>
      </c:pivotFmt>
      <c:pivotFmt>
        <c:idx val="38"/>
        <c:spPr>
          <a:solidFill>
            <a:schemeClr val="accent1"/>
          </a:solidFill>
          <a:ln w="19050">
            <a:solidFill>
              <a:schemeClr val="lt1"/>
            </a:solidFill>
          </a:ln>
          <a:effectLst/>
        </c:spPr>
      </c:pivotFmt>
      <c:pivotFmt>
        <c:idx val="39"/>
        <c:spPr>
          <a:solidFill>
            <a:schemeClr val="accent1"/>
          </a:solidFill>
          <a:ln w="19050">
            <a:solidFill>
              <a:schemeClr val="lt1"/>
            </a:solidFill>
          </a:ln>
          <a:effectLst/>
        </c:spPr>
      </c:pivotFmt>
      <c:pivotFmt>
        <c:idx val="40"/>
        <c:spPr>
          <a:solidFill>
            <a:schemeClr val="accent1"/>
          </a:solidFill>
          <a:ln w="19050">
            <a:solidFill>
              <a:schemeClr val="lt1"/>
            </a:solidFill>
          </a:ln>
          <a:effectLst/>
        </c:spPr>
      </c:pivotFmt>
      <c:pivotFmt>
        <c:idx val="41"/>
        <c:spPr>
          <a:solidFill>
            <a:schemeClr val="accent1"/>
          </a:solidFill>
          <a:ln w="19050">
            <a:solidFill>
              <a:schemeClr val="lt1"/>
            </a:solidFill>
          </a:ln>
          <a:effectLst/>
        </c:spPr>
      </c:pivotFmt>
      <c:pivotFmt>
        <c:idx val="42"/>
        <c:spPr>
          <a:solidFill>
            <a:schemeClr val="accent1"/>
          </a:solidFill>
          <a:ln w="19050">
            <a:solidFill>
              <a:schemeClr val="lt1"/>
            </a:solidFill>
          </a:ln>
          <a:effectLst/>
        </c:spPr>
      </c:pivotFmt>
      <c:pivotFmt>
        <c:idx val="43"/>
        <c:spPr>
          <a:solidFill>
            <a:schemeClr val="accent1"/>
          </a:solidFill>
          <a:ln w="19050">
            <a:solidFill>
              <a:schemeClr val="lt1"/>
            </a:solidFill>
          </a:ln>
          <a:effectLst/>
        </c:spPr>
      </c:pivotFmt>
      <c:pivotFmt>
        <c:idx val="44"/>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5"/>
        <c:spPr>
          <a:solidFill>
            <a:schemeClr val="accent1"/>
          </a:solidFill>
          <a:ln w="19050">
            <a:solidFill>
              <a:schemeClr val="lt1"/>
            </a:solidFill>
          </a:ln>
          <a:effectLst/>
        </c:spPr>
      </c:pivotFmt>
      <c:pivotFmt>
        <c:idx val="46"/>
        <c:spPr>
          <a:solidFill>
            <a:schemeClr val="accent1"/>
          </a:solidFill>
          <a:ln w="19050">
            <a:solidFill>
              <a:schemeClr val="lt1"/>
            </a:solidFill>
          </a:ln>
          <a:effectLst/>
        </c:spPr>
      </c:pivotFmt>
      <c:pivotFmt>
        <c:idx val="47"/>
        <c:spPr>
          <a:solidFill>
            <a:schemeClr val="accent1"/>
          </a:solidFill>
          <a:ln w="19050">
            <a:solidFill>
              <a:schemeClr val="lt1"/>
            </a:solidFill>
          </a:ln>
          <a:effectLst/>
        </c:spPr>
      </c:pivotFmt>
      <c:pivotFmt>
        <c:idx val="48"/>
        <c:spPr>
          <a:solidFill>
            <a:schemeClr val="accent1"/>
          </a:solidFill>
          <a:ln w="19050">
            <a:solidFill>
              <a:schemeClr val="lt1"/>
            </a:solidFill>
          </a:ln>
          <a:effectLst/>
        </c:spPr>
        <c:dLbl>
          <c:idx val="0"/>
          <c:layout>
            <c:manualLayout>
              <c:x val="3.5269837543172061E-2"/>
              <c:y val="-6.8115698069581454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9"/>
        <c:spPr>
          <a:solidFill>
            <a:schemeClr val="accent1"/>
          </a:solidFill>
          <a:ln w="19050">
            <a:solidFill>
              <a:schemeClr val="lt1"/>
            </a:solidFill>
          </a:ln>
          <a:effectLst/>
        </c:spPr>
        <c:dLbl>
          <c:idx val="0"/>
          <c:layout>
            <c:manualLayout>
              <c:x val="7.3451141120400631E-2"/>
              <c:y val="-6.430559878546882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0"/>
        <c:spPr>
          <a:solidFill>
            <a:schemeClr val="accent1"/>
          </a:solidFill>
          <a:ln w="19050">
            <a:solidFill>
              <a:schemeClr val="lt1"/>
            </a:solidFill>
          </a:ln>
          <a:effectLst/>
        </c:spPr>
      </c:pivotFmt>
      <c:pivotFmt>
        <c:idx val="51"/>
        <c:spPr>
          <a:solidFill>
            <a:schemeClr val="accent1"/>
          </a:solidFill>
          <a:ln w="19050">
            <a:solidFill>
              <a:schemeClr val="lt1"/>
            </a:solidFill>
          </a:ln>
          <a:effectLst/>
        </c:spPr>
        <c:dLbl>
          <c:idx val="0"/>
          <c:layout>
            <c:manualLayout>
              <c:x val="-1.3323413991601209E-3"/>
              <c:y val="4.8281902087951876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2"/>
        <c:spPr>
          <a:solidFill>
            <a:schemeClr val="accent1"/>
          </a:solidFill>
          <a:ln w="19050">
            <a:solidFill>
              <a:schemeClr val="lt1"/>
            </a:solidFill>
          </a:ln>
          <a:effectLst/>
        </c:spPr>
        <c:dLbl>
          <c:idx val="0"/>
          <c:layout>
            <c:manualLayout>
              <c:x val="-8.6081257461411917E-3"/>
              <c:y val="1.0105477459393877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3"/>
        <c:spPr>
          <a:solidFill>
            <a:schemeClr val="accent1"/>
          </a:solidFill>
          <a:ln w="19050">
            <a:solidFill>
              <a:schemeClr val="lt1"/>
            </a:solidFill>
          </a:ln>
          <a:effectLst/>
        </c:spPr>
      </c:pivotFmt>
      <c:pivotFmt>
        <c:idx val="54"/>
        <c:spPr>
          <a:solidFill>
            <a:schemeClr val="accent1"/>
          </a:solidFill>
          <a:ln w="19050">
            <a:solidFill>
              <a:schemeClr val="lt1"/>
            </a:solidFill>
          </a:ln>
          <a:effectLst/>
        </c:spPr>
        <c:dLbl>
          <c:idx val="0"/>
          <c:layout>
            <c:manualLayout>
              <c:x val="-5.3831873879362849E-2"/>
              <c:y val="-1.8064325052246439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5"/>
        <c:spPr>
          <a:solidFill>
            <a:schemeClr val="accent1"/>
          </a:solidFill>
          <a:ln w="19050">
            <a:solidFill>
              <a:schemeClr val="lt1"/>
            </a:solidFill>
          </a:ln>
          <a:effectLst/>
        </c:spPr>
      </c:pivotFmt>
      <c:pivotFmt>
        <c:idx val="56"/>
        <c:spPr>
          <a:solidFill>
            <a:schemeClr val="accent1"/>
          </a:solidFill>
          <a:ln w="19050">
            <a:solidFill>
              <a:schemeClr val="lt1"/>
            </a:solidFill>
          </a:ln>
          <a:effectLst/>
        </c:spPr>
      </c:pivotFmt>
      <c:pivotFmt>
        <c:idx val="57"/>
        <c:spPr>
          <a:solidFill>
            <a:schemeClr val="accent1"/>
          </a:solidFill>
          <a:ln w="19050">
            <a:solidFill>
              <a:schemeClr val="lt1"/>
            </a:solidFill>
          </a:ln>
          <a:effectLst/>
        </c:spPr>
        <c:dLbl>
          <c:idx val="0"/>
          <c:layout>
            <c:manualLayout>
              <c:x val="-1.0520935884611072E-2"/>
              <c:y val="-3.335276032700871E-3"/>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8"/>
        <c:spPr>
          <a:solidFill>
            <a:schemeClr val="accent1"/>
          </a:solidFill>
          <a:ln w="19050">
            <a:solidFill>
              <a:schemeClr val="lt1"/>
            </a:solidFill>
          </a:ln>
          <a:effectLst/>
        </c:spPr>
        <c:dLbl>
          <c:idx val="0"/>
          <c:layout>
            <c:manualLayout>
              <c:x val="-4.7781363496582366E-2"/>
              <c:y val="-3.4970970672121023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9"/>
        <c:spPr>
          <a:solidFill>
            <a:schemeClr val="accent1"/>
          </a:solidFill>
          <a:ln w="19050">
            <a:solidFill>
              <a:schemeClr val="lt1"/>
            </a:solidFill>
          </a:ln>
          <a:effectLst/>
        </c:spPr>
      </c:pivotFmt>
      <c:pivotFmt>
        <c:idx val="60"/>
        <c:spPr>
          <a:solidFill>
            <a:schemeClr val="accent1"/>
          </a:solidFill>
          <a:ln w="19050">
            <a:solidFill>
              <a:schemeClr val="lt1"/>
            </a:solidFill>
          </a:ln>
          <a:effectLst/>
        </c:spPr>
      </c:pivotFmt>
      <c:pivotFmt>
        <c:idx val="61"/>
        <c:spPr>
          <a:solidFill>
            <a:schemeClr val="accent1"/>
          </a:solidFill>
          <a:ln w="19050">
            <a:solidFill>
              <a:schemeClr val="lt1"/>
            </a:solidFill>
          </a:ln>
          <a:effectLst/>
        </c:spPr>
      </c:pivotFmt>
      <c:pivotFmt>
        <c:idx val="62"/>
        <c:spPr>
          <a:solidFill>
            <a:schemeClr val="accent1"/>
          </a:solidFill>
          <a:ln w="19050">
            <a:solidFill>
              <a:schemeClr val="lt1"/>
            </a:solidFill>
          </a:ln>
          <a:effectLst/>
        </c:spPr>
        <c:dLbl>
          <c:idx val="0"/>
          <c:layout>
            <c:manualLayout>
              <c:x val="-2.2716300824923378E-2"/>
              <c:y val="-3.2170863320777246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3"/>
        <c:spPr>
          <a:solidFill>
            <a:schemeClr val="accent1"/>
          </a:solidFill>
          <a:ln w="19050">
            <a:solidFill>
              <a:schemeClr val="lt1"/>
            </a:solidFill>
          </a:ln>
          <a:effectLst/>
        </c:spPr>
        <c:dLbl>
          <c:idx val="0"/>
          <c:layout>
            <c:manualLayout>
              <c:x val="3.3650622635544129E-2"/>
              <c:y val="-1.948680975944406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4"/>
        <c:spPr>
          <a:solidFill>
            <a:schemeClr val="accent1"/>
          </a:solidFill>
          <a:ln w="19050">
            <a:solidFill>
              <a:schemeClr val="lt1"/>
            </a:solidFill>
          </a:ln>
          <a:effectLst/>
        </c:spPr>
        <c:dLbl>
          <c:idx val="0"/>
          <c:layout>
            <c:manualLayout>
              <c:x val="8.7410958183925053E-2"/>
              <c:y val="-2.4535181385658116E-3"/>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5"/>
        <c:spPr>
          <a:solidFill>
            <a:schemeClr val="accent1"/>
          </a:solidFill>
          <a:ln w="19050">
            <a:solidFill>
              <a:schemeClr val="lt1"/>
            </a:solidFill>
          </a:ln>
          <a:effectLst/>
        </c:spPr>
      </c:pivotFmt>
      <c:pivotFmt>
        <c:idx val="66"/>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7"/>
        <c:spPr>
          <a:solidFill>
            <a:schemeClr val="accent1"/>
          </a:solidFill>
          <a:ln w="19050">
            <a:solidFill>
              <a:schemeClr val="lt1"/>
            </a:solidFill>
          </a:ln>
          <a:effectLst/>
        </c:spPr>
      </c:pivotFmt>
      <c:pivotFmt>
        <c:idx val="68"/>
        <c:spPr>
          <a:solidFill>
            <a:schemeClr val="accent1"/>
          </a:solidFill>
          <a:ln w="19050">
            <a:solidFill>
              <a:schemeClr val="lt1"/>
            </a:solidFill>
          </a:ln>
          <a:effectLst/>
        </c:spPr>
        <c:dLbl>
          <c:idx val="0"/>
          <c:layout>
            <c:manualLayout>
              <c:x val="3.5269837543172061E-2"/>
              <c:y val="-6.8115698069581454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9"/>
        <c:spPr>
          <a:solidFill>
            <a:schemeClr val="accent1"/>
          </a:solidFill>
          <a:ln w="19050">
            <a:solidFill>
              <a:schemeClr val="lt1"/>
            </a:solidFill>
          </a:ln>
          <a:effectLst/>
        </c:spPr>
        <c:dLbl>
          <c:idx val="0"/>
          <c:layout>
            <c:manualLayout>
              <c:x val="7.3451141120400631E-2"/>
              <c:y val="-6.430559878546882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0"/>
        <c:spPr>
          <a:solidFill>
            <a:schemeClr val="accent1"/>
          </a:solidFill>
          <a:ln w="19050">
            <a:solidFill>
              <a:schemeClr val="lt1"/>
            </a:solidFill>
          </a:ln>
          <a:effectLst/>
        </c:spPr>
        <c:dLbl>
          <c:idx val="0"/>
          <c:layout>
            <c:manualLayout>
              <c:x val="-5.3831873879362849E-2"/>
              <c:y val="-1.8064325052246439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1"/>
        <c:spPr>
          <a:solidFill>
            <a:schemeClr val="accent1"/>
          </a:solidFill>
          <a:ln w="19050">
            <a:solidFill>
              <a:schemeClr val="lt1"/>
            </a:solidFill>
          </a:ln>
          <a:effectLst/>
        </c:spPr>
        <c:dLbl>
          <c:idx val="0"/>
          <c:layout>
            <c:manualLayout>
              <c:x val="-8.6081257461411917E-3"/>
              <c:y val="1.0105477459393877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2"/>
        <c:spPr>
          <a:solidFill>
            <a:schemeClr val="accent1"/>
          </a:solidFill>
          <a:ln w="19050">
            <a:solidFill>
              <a:schemeClr val="lt1"/>
            </a:solidFill>
          </a:ln>
          <a:effectLst/>
        </c:spPr>
        <c:dLbl>
          <c:idx val="0"/>
          <c:layout>
            <c:manualLayout>
              <c:x val="-1.3323413991601209E-3"/>
              <c:y val="4.8281902087951876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3"/>
        <c:spPr>
          <a:solidFill>
            <a:schemeClr val="accent1"/>
          </a:solidFill>
          <a:ln w="19050">
            <a:solidFill>
              <a:schemeClr val="lt1"/>
            </a:solidFill>
          </a:ln>
          <a:effectLst/>
        </c:spPr>
        <c:dLbl>
          <c:idx val="0"/>
          <c:layout>
            <c:manualLayout>
              <c:x val="-1.0520935884611072E-2"/>
              <c:y val="-3.335276032700871E-3"/>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4"/>
        <c:spPr>
          <a:solidFill>
            <a:schemeClr val="accent1"/>
          </a:solidFill>
          <a:ln w="19050">
            <a:solidFill>
              <a:schemeClr val="lt1"/>
            </a:solidFill>
          </a:ln>
          <a:effectLst/>
        </c:spPr>
        <c:dLbl>
          <c:idx val="0"/>
          <c:layout>
            <c:manualLayout>
              <c:x val="-4.7781363496582366E-2"/>
              <c:y val="-3.4970970672121023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5"/>
        <c:spPr>
          <a:solidFill>
            <a:schemeClr val="accent1"/>
          </a:solidFill>
          <a:ln w="19050">
            <a:solidFill>
              <a:schemeClr val="lt1"/>
            </a:solidFill>
          </a:ln>
          <a:effectLst/>
        </c:spPr>
        <c:dLbl>
          <c:idx val="0"/>
          <c:layout>
            <c:manualLayout>
              <c:x val="-2.2716300824923378E-2"/>
              <c:y val="-3.2170863320777246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6"/>
        <c:spPr>
          <a:solidFill>
            <a:schemeClr val="accent1"/>
          </a:solidFill>
          <a:ln w="19050">
            <a:solidFill>
              <a:schemeClr val="lt1"/>
            </a:solidFill>
          </a:ln>
          <a:effectLst/>
        </c:spPr>
        <c:dLbl>
          <c:idx val="0"/>
          <c:layout>
            <c:manualLayout>
              <c:x val="8.7410958183925053E-2"/>
              <c:y val="-2.4535181385658116E-3"/>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7"/>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8"/>
        <c:spPr>
          <a:solidFill>
            <a:schemeClr val="accent1"/>
          </a:solidFill>
          <a:ln w="19050">
            <a:solidFill>
              <a:schemeClr val="lt1"/>
            </a:solidFill>
          </a:ln>
          <a:effectLst/>
        </c:spPr>
      </c:pivotFmt>
      <c:pivotFmt>
        <c:idx val="79"/>
        <c:spPr>
          <a:solidFill>
            <a:schemeClr val="accent1"/>
          </a:solidFill>
          <a:ln w="19050">
            <a:solidFill>
              <a:schemeClr val="lt1"/>
            </a:solidFill>
          </a:ln>
          <a:effectLst/>
        </c:spPr>
        <c:dLbl>
          <c:idx val="0"/>
          <c:layout>
            <c:manualLayout>
              <c:x val="3.5269837543172061E-2"/>
              <c:y val="-6.8115698069581454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0"/>
        <c:spPr>
          <a:solidFill>
            <a:schemeClr val="accent1"/>
          </a:solidFill>
          <a:ln w="19050">
            <a:solidFill>
              <a:schemeClr val="lt1"/>
            </a:solidFill>
          </a:ln>
          <a:effectLst/>
        </c:spPr>
        <c:dLbl>
          <c:idx val="0"/>
          <c:layout>
            <c:manualLayout>
              <c:x val="7.3451141120400631E-2"/>
              <c:y val="-6.430559878546882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1"/>
        <c:spPr>
          <a:solidFill>
            <a:schemeClr val="accent1"/>
          </a:solidFill>
          <a:ln w="19050">
            <a:solidFill>
              <a:schemeClr val="lt1"/>
            </a:solidFill>
          </a:ln>
          <a:effectLst/>
        </c:spPr>
        <c:dLbl>
          <c:idx val="0"/>
          <c:layout>
            <c:manualLayout>
              <c:x val="-5.3831873879362849E-2"/>
              <c:y val="-1.8064325052246439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2"/>
        <c:spPr>
          <a:solidFill>
            <a:schemeClr val="accent1"/>
          </a:solidFill>
          <a:ln w="19050">
            <a:solidFill>
              <a:schemeClr val="lt1"/>
            </a:solidFill>
          </a:ln>
          <a:effectLst/>
        </c:spPr>
        <c:dLbl>
          <c:idx val="0"/>
          <c:layout>
            <c:manualLayout>
              <c:x val="-8.6081257461411917E-3"/>
              <c:y val="1.0105477459393877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3"/>
        <c:spPr>
          <a:solidFill>
            <a:schemeClr val="accent1"/>
          </a:solidFill>
          <a:ln w="19050">
            <a:solidFill>
              <a:schemeClr val="lt1"/>
            </a:solidFill>
          </a:ln>
          <a:effectLst/>
        </c:spPr>
        <c:dLbl>
          <c:idx val="0"/>
          <c:layout>
            <c:manualLayout>
              <c:x val="-1.3323413991601209E-3"/>
              <c:y val="4.8281902087951876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4"/>
        <c:spPr>
          <a:solidFill>
            <a:schemeClr val="accent1"/>
          </a:solidFill>
          <a:ln w="19050">
            <a:solidFill>
              <a:schemeClr val="lt1"/>
            </a:solidFill>
          </a:ln>
          <a:effectLst/>
        </c:spPr>
        <c:dLbl>
          <c:idx val="0"/>
          <c:layout>
            <c:manualLayout>
              <c:x val="-1.0520935884611072E-2"/>
              <c:y val="-3.335276032700871E-3"/>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5"/>
        <c:spPr>
          <a:solidFill>
            <a:schemeClr val="accent1"/>
          </a:solidFill>
          <a:ln w="19050">
            <a:solidFill>
              <a:schemeClr val="lt1"/>
            </a:solidFill>
          </a:ln>
          <a:effectLst/>
        </c:spPr>
        <c:dLbl>
          <c:idx val="0"/>
          <c:layout>
            <c:manualLayout>
              <c:x val="-4.7781363496582366E-2"/>
              <c:y val="-3.4970970672121023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6"/>
        <c:spPr>
          <a:solidFill>
            <a:schemeClr val="accent1"/>
          </a:solidFill>
          <a:ln w="19050">
            <a:solidFill>
              <a:schemeClr val="lt1"/>
            </a:solidFill>
          </a:ln>
          <a:effectLst/>
        </c:spPr>
        <c:dLbl>
          <c:idx val="0"/>
          <c:layout>
            <c:manualLayout>
              <c:x val="-2.2716300824923378E-2"/>
              <c:y val="-3.2170863320777246E-2"/>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7"/>
        <c:spPr>
          <a:solidFill>
            <a:schemeClr val="accent1"/>
          </a:solidFill>
          <a:ln w="19050">
            <a:solidFill>
              <a:schemeClr val="lt1"/>
            </a:solidFill>
          </a:ln>
          <a:effectLst/>
        </c:spPr>
        <c:dLbl>
          <c:idx val="0"/>
          <c:layout>
            <c:manualLayout>
              <c:x val="8.7410958183925053E-2"/>
              <c:y val="-2.4535181385658116E-3"/>
            </c:manualLayout>
          </c:layout>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s>
    <c:plotArea>
      <c:layout>
        <c:manualLayout>
          <c:layoutTarget val="inner"/>
          <c:xMode val="edge"/>
          <c:yMode val="edge"/>
          <c:x val="8.2338783041170815E-2"/>
          <c:y val="0.17470590547289158"/>
          <c:w val="0.46081495613522272"/>
          <c:h val="0.76983190231349197"/>
        </c:manualLayout>
      </c:layout>
      <c:pieChart>
        <c:varyColors val="1"/>
        <c:ser>
          <c:idx val="0"/>
          <c:order val="0"/>
          <c:tx>
            <c:strRef>
              <c:f>'Tourism Exports by Country'!$B$3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99F-426E-B779-AA331D2F528B}"/>
              </c:ext>
            </c:extLst>
          </c:dPt>
          <c:dPt>
            <c:idx val="1"/>
            <c:bubble3D val="0"/>
            <c:explosion val="2"/>
            <c:spPr>
              <a:solidFill>
                <a:schemeClr val="accent2"/>
              </a:solidFill>
              <a:ln w="19050">
                <a:solidFill>
                  <a:schemeClr val="lt1"/>
                </a:solidFill>
              </a:ln>
              <a:effectLst/>
            </c:spPr>
            <c:extLst>
              <c:ext xmlns:c16="http://schemas.microsoft.com/office/drawing/2014/chart" uri="{C3380CC4-5D6E-409C-BE32-E72D297353CC}">
                <c16:uniqueId val="{00000003-099F-426E-B779-AA331D2F528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99F-426E-B779-AA331D2F528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99F-426E-B779-AA331D2F528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99F-426E-B779-AA331D2F528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099F-426E-B779-AA331D2F528B}"/>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099F-426E-B779-AA331D2F528B}"/>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099F-426E-B779-AA331D2F528B}"/>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099F-426E-B779-AA331D2F528B}"/>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099F-426E-B779-AA331D2F528B}"/>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099F-426E-B779-AA331D2F528B}"/>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099F-426E-B779-AA331D2F528B}"/>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099F-426E-B779-AA331D2F528B}"/>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099F-426E-B779-AA331D2F528B}"/>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099F-426E-B779-AA331D2F528B}"/>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F-099F-426E-B779-AA331D2F528B}"/>
              </c:ext>
            </c:extLst>
          </c:dPt>
          <c:dPt>
            <c:idx val="16"/>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21-099F-426E-B779-AA331D2F528B}"/>
              </c:ext>
            </c:extLst>
          </c:dPt>
          <c:dPt>
            <c:idx val="17"/>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23-099F-426E-B779-AA331D2F528B}"/>
              </c:ext>
            </c:extLst>
          </c:dPt>
          <c:dPt>
            <c:idx val="18"/>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25-099F-426E-B779-AA331D2F528B}"/>
              </c:ext>
            </c:extLst>
          </c:dPt>
          <c:dPt>
            <c:idx val="19"/>
            <c:bubble3D val="0"/>
            <c:spPr>
              <a:solidFill>
                <a:schemeClr val="accent2">
                  <a:lumMod val="80000"/>
                </a:schemeClr>
              </a:solidFill>
              <a:ln w="19050">
                <a:solidFill>
                  <a:schemeClr val="lt1"/>
                </a:solidFill>
              </a:ln>
              <a:effectLst/>
            </c:spPr>
            <c:extLst>
              <c:ext xmlns:c16="http://schemas.microsoft.com/office/drawing/2014/chart" uri="{C3380CC4-5D6E-409C-BE32-E72D297353CC}">
                <c16:uniqueId val="{00000027-099F-426E-B779-AA331D2F528B}"/>
              </c:ext>
            </c:extLst>
          </c:dPt>
          <c:dPt>
            <c:idx val="20"/>
            <c:bubble3D val="0"/>
            <c:spPr>
              <a:solidFill>
                <a:schemeClr val="accent3">
                  <a:lumMod val="80000"/>
                </a:schemeClr>
              </a:solidFill>
              <a:ln w="19050">
                <a:solidFill>
                  <a:schemeClr val="lt1"/>
                </a:solidFill>
              </a:ln>
              <a:effectLst/>
            </c:spPr>
            <c:extLst>
              <c:ext xmlns:c16="http://schemas.microsoft.com/office/drawing/2014/chart" uri="{C3380CC4-5D6E-409C-BE32-E72D297353CC}">
                <c16:uniqueId val="{00000029-099F-426E-B779-AA331D2F528B}"/>
              </c:ext>
            </c:extLst>
          </c:dPt>
          <c:dLbls>
            <c:dLbl>
              <c:idx val="0"/>
              <c:layout>
                <c:manualLayout>
                  <c:x val="4.3257316449039573E-2"/>
                  <c:y val="2.02895228849818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99F-426E-B779-AA331D2F528B}"/>
                </c:ext>
              </c:extLst>
            </c:dLbl>
            <c:dLbl>
              <c:idx val="1"/>
              <c:layout>
                <c:manualLayout>
                  <c:x val="3.5269837543172061E-2"/>
                  <c:y val="-6.81156980695814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99F-426E-B779-AA331D2F528B}"/>
                </c:ext>
              </c:extLst>
            </c:dLbl>
            <c:dLbl>
              <c:idx val="2"/>
              <c:layout>
                <c:manualLayout>
                  <c:x val="7.3451141120400631E-2"/>
                  <c:y val="-6.4305598785468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99F-426E-B779-AA331D2F528B}"/>
                </c:ext>
              </c:extLst>
            </c:dLbl>
            <c:dLbl>
              <c:idx val="3"/>
              <c:layout>
                <c:manualLayout>
                  <c:x val="-5.3831873879362849E-2"/>
                  <c:y val="-1.80643250522464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99F-426E-B779-AA331D2F528B}"/>
                </c:ext>
              </c:extLst>
            </c:dLbl>
            <c:dLbl>
              <c:idx val="4"/>
              <c:layout>
                <c:manualLayout>
                  <c:x val="-8.6081257461411917E-3"/>
                  <c:y val="1.01054774593938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99F-426E-B779-AA331D2F528B}"/>
                </c:ext>
              </c:extLst>
            </c:dLbl>
            <c:dLbl>
              <c:idx val="5"/>
              <c:layout>
                <c:manualLayout>
                  <c:x val="-1.3323413991601209E-3"/>
                  <c:y val="4.82819020879518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99F-426E-B779-AA331D2F528B}"/>
                </c:ext>
              </c:extLst>
            </c:dLbl>
            <c:dLbl>
              <c:idx val="6"/>
              <c:layout>
                <c:manualLayout>
                  <c:x val="-1.0520935884611072E-2"/>
                  <c:y val="-3.33527603270087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99F-426E-B779-AA331D2F528B}"/>
                </c:ext>
              </c:extLst>
            </c:dLbl>
            <c:dLbl>
              <c:idx val="7"/>
              <c:layout>
                <c:manualLayout>
                  <c:x val="-4.7781363496582366E-2"/>
                  <c:y val="-3.497097067212102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099F-426E-B779-AA331D2F528B}"/>
                </c:ext>
              </c:extLst>
            </c:dLbl>
            <c:dLbl>
              <c:idx val="8"/>
              <c:layout>
                <c:manualLayout>
                  <c:x val="-2.2716300824923378E-2"/>
                  <c:y val="-3.217086332077724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099F-426E-B779-AA331D2F528B}"/>
                </c:ext>
              </c:extLst>
            </c:dLbl>
            <c:dLbl>
              <c:idx val="9"/>
              <c:layout>
                <c:manualLayout>
                  <c:x val="8.7410958183925053E-2"/>
                  <c:y val="-2.453518138565811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099F-426E-B779-AA331D2F528B}"/>
                </c:ext>
              </c:extLst>
            </c:dLbl>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'Tourism Exports by Country'!$A$4:$A$14</c:f>
              <c:strCache>
                <c:ptCount val="10"/>
                <c:pt idx="0">
                  <c:v>Armenia</c:v>
                </c:pt>
                <c:pt idx="1">
                  <c:v>Argentina</c:v>
                </c:pt>
                <c:pt idx="2">
                  <c:v>Arab World</c:v>
                </c:pt>
                <c:pt idx="3">
                  <c:v>Africa Eastern and Southern</c:v>
                </c:pt>
                <c:pt idx="4">
                  <c:v>Antigua and Barbuda</c:v>
                </c:pt>
                <c:pt idx="5">
                  <c:v>Belgium</c:v>
                </c:pt>
                <c:pt idx="6">
                  <c:v>Australia</c:v>
                </c:pt>
                <c:pt idx="7">
                  <c:v>Austria</c:v>
                </c:pt>
                <c:pt idx="8">
                  <c:v>India</c:v>
                </c:pt>
                <c:pt idx="9">
                  <c:v>United Arab Emirates</c:v>
                </c:pt>
              </c:strCache>
            </c:strRef>
          </c:cat>
          <c:val>
            <c:numRef>
              <c:f>'Tourism Exports by Country'!$B$4:$B$14</c:f>
              <c:numCache>
                <c:formatCode>#,##0.00</c:formatCode>
                <c:ptCount val="10"/>
                <c:pt idx="0">
                  <c:v>19.615749999999998</c:v>
                </c:pt>
                <c:pt idx="1">
                  <c:v>10.76452380952381</c:v>
                </c:pt>
                <c:pt idx="2">
                  <c:v>10.067348353605253</c:v>
                </c:pt>
                <c:pt idx="3">
                  <c:v>7.8370000000000015</c:v>
                </c:pt>
                <c:pt idx="4">
                  <c:v>7.8369999999999997</c:v>
                </c:pt>
                <c:pt idx="5">
                  <c:v>7.7859999999999996</c:v>
                </c:pt>
                <c:pt idx="6">
                  <c:v>5.2757499999999995</c:v>
                </c:pt>
                <c:pt idx="7">
                  <c:v>5.1870000000000003</c:v>
                </c:pt>
                <c:pt idx="8">
                  <c:v>3.2043142857142857</c:v>
                </c:pt>
                <c:pt idx="9">
                  <c:v>2.4563116883116884</c:v>
                </c:pt>
              </c:numCache>
            </c:numRef>
          </c:val>
          <c:extLst>
            <c:ext xmlns:c16="http://schemas.microsoft.com/office/drawing/2014/chart" uri="{C3380CC4-5D6E-409C-BE32-E72D297353CC}">
              <c16:uniqueId val="{0000002A-099F-426E-B779-AA331D2F528B}"/>
            </c:ext>
          </c:extLst>
        </c:ser>
        <c:dLbls>
          <c:showLegendKey val="0"/>
          <c:showVal val="0"/>
          <c:showCatName val="0"/>
          <c:showSerName val="0"/>
          <c:showPercent val="0"/>
          <c:showBubbleSize val="0"/>
          <c:showLeaderLines val="1"/>
        </c:dLbls>
        <c:firstSliceAng val="0"/>
      </c:pieChart>
      <c:spPr>
        <a:noFill/>
        <a:ln w="25400">
          <a:noFill/>
        </a:ln>
        <a:effectLst/>
      </c:spPr>
    </c:plotArea>
    <c:legend>
      <c:legendPos val="r"/>
      <c:layout>
        <c:manualLayout>
          <c:xMode val="edge"/>
          <c:yMode val="edge"/>
          <c:x val="0.76922416997232845"/>
          <c:y val="7.2413296157387175E-2"/>
          <c:w val="0.22522013188426049"/>
          <c:h val="0.90638561587846433"/>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1">
        <a:lumMod val="40000"/>
        <a:lumOff val="60000"/>
      </a:schemeClr>
    </a:solidFill>
    <a:ln w="9525" cap="flat" cmpd="sng" algn="ctr">
      <a:solidFill>
        <a:schemeClr val="tx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[world_tourism_economy_data5.xlsx]Sheet7!PivotTable3</c:name>
    <c:fmtId val="-1"/>
  </c:pivotSource>
  <c:chart>
    <c:title>
      <c:tx>
        <c:rich>
          <a:bodyPr rot="0" spcFirstLastPara="1" vertOverflow="ellipsis" vert="horz" wrap="square" anchor="ctr" anchorCtr="1"/>
          <a:lstStyle/>
          <a:p>
            <a:pPr>
              <a:defRPr sz="1400" b="1" i="0" u="none" strike="noStrike" kern="1200" spc="0" baseline="0">
                <a:solidFill>
                  <a:schemeClr val="bg1"/>
                </a:solidFill>
                <a:latin typeface="+mn-lt"/>
                <a:ea typeface="+mn-ea"/>
                <a:cs typeface="+mn-cs"/>
              </a:defRPr>
            </a:pPr>
            <a:r>
              <a:rPr lang="en-US" sz="1200" b="1">
                <a:solidFill>
                  <a:schemeClr val="bg1"/>
                </a:solidFill>
              </a:rPr>
              <a:t>Global</a:t>
            </a:r>
            <a:r>
              <a:rPr lang="en-US" sz="1200" b="1" baseline="0">
                <a:solidFill>
                  <a:schemeClr val="bg1"/>
                </a:solidFill>
              </a:rPr>
              <a:t> Turism : Income vs Spending</a:t>
            </a:r>
            <a:endParaRPr lang="en-US" sz="1200" b="1">
              <a:solidFill>
                <a:schemeClr val="bg1"/>
              </a:solidFill>
            </a:endParaRPr>
          </a:p>
        </c:rich>
      </c:tx>
      <c:layout>
        <c:manualLayout>
          <c:xMode val="edge"/>
          <c:yMode val="edge"/>
          <c:x val="0.10231059106438511"/>
          <c:y val="1.6451878256100904E-2"/>
        </c:manualLayout>
      </c:layout>
      <c:overlay val="0"/>
      <c:spPr>
        <a:solidFill>
          <a:schemeClr val="accent1">
            <a:lumMod val="75000"/>
          </a:schemeClr>
        </a:solidFill>
        <a:ln>
          <a:noFill/>
        </a:ln>
        <a:effectLst/>
      </c:spPr>
      <c:txPr>
        <a:bodyPr rot="0" spcFirstLastPara="1" vertOverflow="ellipsis" vert="horz" wrap="square" anchor="ctr" anchorCtr="1"/>
        <a:lstStyle/>
        <a:p>
          <a:pPr>
            <a:defRPr sz="1400" b="1"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
        <c:idx val="33"/>
        <c:spPr>
          <a:solidFill>
            <a:schemeClr val="accent1"/>
          </a:solidFill>
          <a:ln w="19050">
            <a:solidFill>
              <a:schemeClr val="lt1"/>
            </a:solidFill>
          </a:ln>
          <a:effectLst/>
        </c:spPr>
      </c:pivotFmt>
      <c:pivotFmt>
        <c:idx val="34"/>
        <c:spPr>
          <a:solidFill>
            <a:schemeClr val="accent1"/>
          </a:solidFill>
          <a:ln w="19050">
            <a:solidFill>
              <a:schemeClr val="lt1"/>
            </a:solidFill>
          </a:ln>
          <a:effectLst/>
        </c:spPr>
      </c:pivotFmt>
      <c:pivotFmt>
        <c:idx val="35"/>
        <c:spPr>
          <a:solidFill>
            <a:schemeClr val="accent1"/>
          </a:solidFill>
          <a:ln w="19050">
            <a:solidFill>
              <a:schemeClr val="lt1"/>
            </a:solidFill>
          </a:ln>
          <a:effectLst/>
        </c:spPr>
      </c:pivotFmt>
      <c:pivotFmt>
        <c:idx val="36"/>
        <c:spPr>
          <a:solidFill>
            <a:schemeClr val="accent1"/>
          </a:solidFill>
          <a:ln w="19050">
            <a:solidFill>
              <a:schemeClr val="lt1"/>
            </a:solidFill>
          </a:ln>
          <a:effectLst/>
        </c:spPr>
      </c:pivotFmt>
      <c:pivotFmt>
        <c:idx val="37"/>
        <c:spPr>
          <a:solidFill>
            <a:schemeClr val="accent1"/>
          </a:solidFill>
          <a:ln w="19050">
            <a:solidFill>
              <a:schemeClr val="lt1"/>
            </a:solidFill>
          </a:ln>
          <a:effectLst/>
        </c:spPr>
      </c:pivotFmt>
      <c:pivotFmt>
        <c:idx val="38"/>
        <c:spPr>
          <a:solidFill>
            <a:schemeClr val="accent1"/>
          </a:solidFill>
          <a:ln w="19050">
            <a:solidFill>
              <a:schemeClr val="lt1"/>
            </a:solidFill>
          </a:ln>
          <a:effectLst/>
        </c:spPr>
      </c:pivotFmt>
      <c:pivotFmt>
        <c:idx val="39"/>
        <c:spPr>
          <a:solidFill>
            <a:schemeClr val="accent1"/>
          </a:solidFill>
          <a:ln w="19050">
            <a:solidFill>
              <a:schemeClr val="lt1"/>
            </a:solidFill>
          </a:ln>
          <a:effectLst/>
        </c:spPr>
      </c:pivotFmt>
      <c:pivotFmt>
        <c:idx val="40"/>
        <c:spPr>
          <a:solidFill>
            <a:schemeClr val="accent1"/>
          </a:solidFill>
          <a:ln w="19050">
            <a:solidFill>
              <a:schemeClr val="lt1"/>
            </a:solidFill>
          </a:ln>
          <a:effectLst/>
        </c:spPr>
      </c:pivotFmt>
      <c:pivotFmt>
        <c:idx val="41"/>
        <c:spPr>
          <a:solidFill>
            <a:schemeClr val="accent1"/>
          </a:solidFill>
          <a:ln w="19050">
            <a:solidFill>
              <a:schemeClr val="lt1"/>
            </a:solidFill>
          </a:ln>
          <a:effectLst/>
        </c:spPr>
      </c:pivotFmt>
      <c:pivotFmt>
        <c:idx val="42"/>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3"/>
        <c:spPr>
          <a:solidFill>
            <a:schemeClr val="accent1"/>
          </a:solidFill>
          <a:ln w="19050">
            <a:solidFill>
              <a:schemeClr val="lt1"/>
            </a:solidFill>
          </a:ln>
          <a:effectLst/>
        </c:spPr>
      </c:pivotFmt>
      <c:pivotFmt>
        <c:idx val="44"/>
        <c:spPr>
          <a:solidFill>
            <a:schemeClr val="accent1"/>
          </a:solidFill>
          <a:ln w="19050">
            <a:solidFill>
              <a:schemeClr val="lt1"/>
            </a:solidFill>
          </a:ln>
          <a:effectLst/>
        </c:spPr>
        <c:dLbl>
          <c:idx val="0"/>
          <c:layout>
            <c:manualLayout>
              <c:x val="-5.6427870461236505E-2"/>
              <c:y val="0.1368421052631579"/>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5"/>
        <c:spPr>
          <a:solidFill>
            <a:schemeClr val="accent1"/>
          </a:solidFill>
          <a:ln w="19050">
            <a:solidFill>
              <a:schemeClr val="lt1"/>
            </a:solidFill>
          </a:ln>
          <a:effectLst/>
        </c:spPr>
        <c:dLbl>
          <c:idx val="0"/>
          <c:layout>
            <c:manualLayout>
              <c:x val="-6.8694798822374961E-2"/>
              <c:y val="6.3157894736842052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6"/>
        <c:spPr>
          <a:solidFill>
            <a:schemeClr val="accent1"/>
          </a:solidFill>
          <a:ln w="19050">
            <a:solidFill>
              <a:schemeClr val="lt1"/>
            </a:solidFill>
          </a:ln>
          <a:effectLst/>
        </c:spPr>
      </c:pivotFmt>
      <c:pivotFmt>
        <c:idx val="47"/>
        <c:spPr>
          <a:solidFill>
            <a:schemeClr val="accent1"/>
          </a:solidFill>
          <a:ln w="19050">
            <a:solidFill>
              <a:schemeClr val="lt1"/>
            </a:solidFill>
          </a:ln>
          <a:effectLst/>
        </c:spPr>
      </c:pivotFmt>
      <c:pivotFmt>
        <c:idx val="48"/>
        <c:spPr>
          <a:solidFill>
            <a:schemeClr val="accent1"/>
          </a:solidFill>
          <a:ln w="19050">
            <a:solidFill>
              <a:schemeClr val="lt1"/>
            </a:solidFill>
          </a:ln>
          <a:effectLst/>
        </c:spPr>
      </c:pivotFmt>
      <c:pivotFmt>
        <c:idx val="49"/>
        <c:spPr>
          <a:solidFill>
            <a:schemeClr val="accent1"/>
          </a:solidFill>
          <a:ln w="19050">
            <a:solidFill>
              <a:schemeClr val="lt1"/>
            </a:solidFill>
          </a:ln>
          <a:effectLst/>
        </c:spPr>
        <c:dLbl>
          <c:idx val="0"/>
          <c:layout>
            <c:manualLayout>
              <c:x val="-6.8694798822374878E-2"/>
              <c:y val="4.2105263157894736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0"/>
        <c:spPr>
          <a:solidFill>
            <a:schemeClr val="accent1"/>
          </a:solidFill>
          <a:ln w="19050">
            <a:solidFill>
              <a:schemeClr val="lt1"/>
            </a:solidFill>
          </a:ln>
          <a:effectLst/>
        </c:spPr>
      </c:pivotFmt>
      <c:pivotFmt>
        <c:idx val="51"/>
        <c:spPr>
          <a:solidFill>
            <a:schemeClr val="accent1"/>
          </a:solidFill>
          <a:ln w="19050">
            <a:solidFill>
              <a:schemeClr val="lt1"/>
            </a:solidFill>
          </a:ln>
          <a:effectLst/>
        </c:spPr>
      </c:pivotFmt>
      <c:pivotFmt>
        <c:idx val="52"/>
        <c:spPr>
          <a:solidFill>
            <a:schemeClr val="accent1"/>
          </a:solidFill>
          <a:ln w="19050">
            <a:solidFill>
              <a:schemeClr val="lt1"/>
            </a:solidFill>
          </a:ln>
          <a:effectLst/>
        </c:spPr>
        <c:dLbl>
          <c:idx val="0"/>
          <c:layout>
            <c:manualLayout>
              <c:x val="-0.10672227674190392"/>
              <c:y val="-8.9473684210526316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6.7410924713900464E-2"/>
                  <c:h val="0.15375714877745544"/>
                </c:manualLayout>
              </c15:layout>
            </c:ext>
          </c:extLst>
        </c:dLbl>
      </c:pivotFmt>
      <c:pivotFmt>
        <c:idx val="53"/>
        <c:spPr>
          <a:solidFill>
            <a:schemeClr val="accent1"/>
          </a:solidFill>
          <a:ln w="19050">
            <a:solidFill>
              <a:schemeClr val="lt1"/>
            </a:solidFill>
          </a:ln>
          <a:effectLst/>
        </c:spPr>
      </c:pivotFmt>
      <c:pivotFmt>
        <c:idx val="54"/>
        <c:spPr>
          <a:solidFill>
            <a:schemeClr val="accent1"/>
          </a:solidFill>
          <a:ln w="19050">
            <a:solidFill>
              <a:schemeClr val="lt1"/>
            </a:solidFill>
          </a:ln>
          <a:effectLst/>
        </c:spPr>
        <c:dLbl>
          <c:idx val="0"/>
          <c:layout>
            <c:manualLayout>
              <c:x val="-6.1334641805691897E-2"/>
              <c:y val="-0.18947368421052641"/>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5"/>
        <c:spPr>
          <a:solidFill>
            <a:schemeClr val="accent1"/>
          </a:solidFill>
          <a:ln w="19050">
            <a:solidFill>
              <a:schemeClr val="lt1"/>
            </a:solidFill>
          </a:ln>
          <a:effectLst/>
        </c:spPr>
        <c:dLbl>
          <c:idx val="0"/>
          <c:layout>
            <c:manualLayout>
              <c:x val="-0.18155053974484794"/>
              <c:y val="5.2631578947367457E-3"/>
            </c:manualLayout>
          </c:layout>
          <c:spPr>
            <a:xfrm>
              <a:off x="1017173" y="2077183"/>
              <a:ext cx="399754" cy="320216"/>
            </a:xfrm>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203313"/>
                    <a:gd name="adj2" fmla="val -15864"/>
                  </a:avLst>
                </a:prstGeom>
                <a:noFill/>
                <a:ln>
                  <a:noFill/>
                </a:ln>
              </c15:spPr>
              <c15:layout>
                <c:manualLayout>
                  <c:w val="7.7224467402811151E-2"/>
                  <c:h val="0.13270451719850809"/>
                </c:manualLayout>
              </c15:layout>
            </c:ext>
          </c:extLst>
        </c:dLbl>
      </c:pivotFmt>
      <c:pivotFmt>
        <c:idx val="56"/>
        <c:spPr>
          <a:solidFill>
            <a:schemeClr val="accent1"/>
          </a:solidFill>
          <a:ln w="19050">
            <a:solidFill>
              <a:schemeClr val="lt1"/>
            </a:solidFill>
          </a:ln>
          <a:effectLst/>
        </c:spPr>
      </c:pivotFmt>
      <c:pivotFmt>
        <c:idx val="57"/>
        <c:spPr>
          <a:solidFill>
            <a:schemeClr val="accent1"/>
          </a:solidFill>
          <a:ln w="19050">
            <a:solidFill>
              <a:schemeClr val="lt1"/>
            </a:solidFill>
          </a:ln>
          <a:effectLst/>
        </c:spPr>
      </c:pivotFmt>
      <c:pivotFmt>
        <c:idx val="58"/>
        <c:spPr>
          <a:solidFill>
            <a:schemeClr val="accent1"/>
          </a:solidFill>
          <a:ln w="19050">
            <a:solidFill>
              <a:schemeClr val="lt1"/>
            </a:solidFill>
          </a:ln>
          <a:effectLst/>
        </c:spPr>
      </c:pivotFmt>
      <c:pivotFmt>
        <c:idx val="59"/>
        <c:spPr>
          <a:solidFill>
            <a:schemeClr val="accent1"/>
          </a:solidFill>
          <a:ln w="19050">
            <a:solidFill>
              <a:schemeClr val="lt1"/>
            </a:solidFill>
          </a:ln>
          <a:effectLst/>
        </c:spPr>
        <c:dLbl>
          <c:idx val="0"/>
          <c:layout>
            <c:manualLayout>
              <c:x val="3.9254170755642741E-2"/>
              <c:y val="-0.14210526315789473"/>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0"/>
        <c:spPr>
          <a:solidFill>
            <a:schemeClr val="accent1"/>
          </a:solidFill>
          <a:ln w="19050">
            <a:solidFill>
              <a:schemeClr val="lt1"/>
            </a:solidFill>
          </a:ln>
          <a:effectLst/>
        </c:spPr>
      </c:pivotFmt>
      <c:pivotFmt>
        <c:idx val="61"/>
        <c:spPr>
          <a:solidFill>
            <a:schemeClr val="accent1"/>
          </a:solidFill>
          <a:ln w="19050">
            <a:solidFill>
              <a:schemeClr val="lt1"/>
            </a:solidFill>
          </a:ln>
          <a:effectLst/>
        </c:spPr>
        <c:dLbl>
          <c:idx val="0"/>
          <c:layout>
            <c:manualLayout>
              <c:x val="2.9440628066732092E-2"/>
              <c:y val="0.12105263157894737"/>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2"/>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3"/>
        <c:spPr>
          <a:solidFill>
            <a:schemeClr val="accent1"/>
          </a:solidFill>
          <a:ln w="19050">
            <a:solidFill>
              <a:schemeClr val="lt1"/>
            </a:solidFill>
          </a:ln>
          <a:effectLst/>
        </c:spPr>
      </c:pivotFmt>
      <c:pivotFmt>
        <c:idx val="64"/>
        <c:spPr>
          <a:solidFill>
            <a:schemeClr val="accent1"/>
          </a:solidFill>
          <a:ln w="19050">
            <a:solidFill>
              <a:schemeClr val="lt1"/>
            </a:solidFill>
          </a:ln>
          <a:effectLst/>
        </c:spPr>
        <c:dLbl>
          <c:idx val="0"/>
          <c:layout>
            <c:manualLayout>
              <c:x val="0.20853778213935231"/>
              <c:y val="-7.8947368421052641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5"/>
        <c:spPr>
          <a:solidFill>
            <a:schemeClr val="accent1"/>
          </a:solidFill>
          <a:ln w="19050">
            <a:solidFill>
              <a:schemeClr val="lt1"/>
            </a:solidFill>
          </a:ln>
          <a:effectLst/>
        </c:spPr>
        <c:dLbl>
          <c:idx val="0"/>
          <c:layout>
            <c:manualLayout>
              <c:x val="0.23307163886162904"/>
              <c:y val="2.6315789473684185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6"/>
        <c:spPr>
          <a:solidFill>
            <a:schemeClr val="accent1"/>
          </a:solidFill>
          <a:ln w="19050">
            <a:solidFill>
              <a:schemeClr val="lt1"/>
            </a:solidFill>
          </a:ln>
          <a:effectLst/>
        </c:spPr>
      </c:pivotFmt>
      <c:pivotFmt>
        <c:idx val="67"/>
        <c:spPr>
          <a:solidFill>
            <a:schemeClr val="accent1"/>
          </a:solidFill>
          <a:ln w="19050">
            <a:solidFill>
              <a:schemeClr val="lt1"/>
            </a:solidFill>
          </a:ln>
          <a:effectLst/>
        </c:spPr>
      </c:pivotFmt>
      <c:pivotFmt>
        <c:idx val="68"/>
        <c:spPr>
          <a:solidFill>
            <a:schemeClr val="accent1"/>
          </a:solidFill>
          <a:ln w="19050">
            <a:solidFill>
              <a:schemeClr val="lt1"/>
            </a:solidFill>
          </a:ln>
          <a:effectLst/>
        </c:spPr>
        <c:dLbl>
          <c:idx val="0"/>
          <c:layout>
            <c:manualLayout>
              <c:x val="-9.5682041216879246E-2"/>
              <c:y val="3.6842105263157822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9"/>
        <c:spPr>
          <a:solidFill>
            <a:schemeClr val="accent1"/>
          </a:solidFill>
          <a:ln w="19050">
            <a:solidFill>
              <a:schemeClr val="lt1"/>
            </a:solidFill>
          </a:ln>
          <a:effectLst/>
        </c:spPr>
        <c:dLbl>
          <c:idx val="0"/>
          <c:layout>
            <c:manualLayout>
              <c:x val="0.13984298331697742"/>
              <c:y val="0.10526315789473684"/>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0"/>
        <c:spPr>
          <a:solidFill>
            <a:schemeClr val="accent1"/>
          </a:solidFill>
          <a:ln w="19050">
            <a:solidFill>
              <a:schemeClr val="lt1"/>
            </a:solidFill>
          </a:ln>
          <a:effectLst/>
        </c:spPr>
      </c:pivotFmt>
      <c:pivotFmt>
        <c:idx val="71"/>
        <c:spPr>
          <a:solidFill>
            <a:schemeClr val="accent1"/>
          </a:solidFill>
          <a:ln w="19050">
            <a:solidFill>
              <a:schemeClr val="lt1"/>
            </a:solidFill>
          </a:ln>
          <a:effectLst/>
        </c:spPr>
      </c:pivotFmt>
      <c:pivotFmt>
        <c:idx val="72"/>
        <c:spPr>
          <a:solidFill>
            <a:schemeClr val="accent1"/>
          </a:solidFill>
          <a:ln w="19050">
            <a:solidFill>
              <a:schemeClr val="lt1"/>
            </a:solidFill>
          </a:ln>
          <a:effectLst/>
        </c:spPr>
        <c:dLbl>
          <c:idx val="0"/>
          <c:layout>
            <c:manualLayout>
              <c:x val="7.1148184494602557E-2"/>
              <c:y val="0.1736842105263158"/>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3"/>
        <c:spPr>
          <a:solidFill>
            <a:schemeClr val="accent1"/>
          </a:solidFill>
          <a:ln w="19050">
            <a:solidFill>
              <a:schemeClr val="lt1"/>
            </a:solidFill>
          </a:ln>
          <a:effectLst/>
        </c:spPr>
      </c:pivotFmt>
      <c:pivotFmt>
        <c:idx val="74"/>
        <c:spPr>
          <a:solidFill>
            <a:schemeClr val="accent1"/>
          </a:solidFill>
          <a:ln w="19050">
            <a:solidFill>
              <a:schemeClr val="lt1"/>
            </a:solidFill>
          </a:ln>
          <a:effectLst/>
        </c:spPr>
        <c:dLbl>
          <c:idx val="0"/>
          <c:layout>
            <c:manualLayout>
              <c:x val="7.8508341511285579E-2"/>
              <c:y val="7.3684210526315783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5"/>
        <c:spPr>
          <a:solidFill>
            <a:schemeClr val="accent1"/>
          </a:solidFill>
          <a:ln w="19050">
            <a:solidFill>
              <a:schemeClr val="lt1"/>
            </a:solidFill>
          </a:ln>
          <a:effectLst/>
        </c:spPr>
        <c:dLbl>
          <c:idx val="0"/>
          <c:layout>
            <c:manualLayout>
              <c:x val="0.11776251226692837"/>
              <c:y val="-2.1052631578947368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6"/>
        <c:spPr>
          <a:solidFill>
            <a:schemeClr val="accent1"/>
          </a:solidFill>
          <a:ln w="19050">
            <a:solidFill>
              <a:schemeClr val="lt1"/>
            </a:solidFill>
          </a:ln>
          <a:effectLst/>
        </c:spPr>
      </c:pivotFmt>
      <c:pivotFmt>
        <c:idx val="77"/>
        <c:spPr>
          <a:solidFill>
            <a:schemeClr val="accent1"/>
          </a:solidFill>
          <a:ln w="19050">
            <a:solidFill>
              <a:schemeClr val="lt1"/>
            </a:solidFill>
          </a:ln>
          <a:effectLst/>
        </c:spPr>
      </c:pivotFmt>
      <c:pivotFmt>
        <c:idx val="78"/>
        <c:spPr>
          <a:solidFill>
            <a:schemeClr val="accent1"/>
          </a:solidFill>
          <a:ln w="19050">
            <a:solidFill>
              <a:schemeClr val="lt1"/>
            </a:solidFill>
          </a:ln>
          <a:effectLst/>
        </c:spPr>
      </c:pivotFmt>
      <c:pivotFmt>
        <c:idx val="79"/>
        <c:spPr>
          <a:solidFill>
            <a:schemeClr val="accent1"/>
          </a:solidFill>
          <a:ln w="19050">
            <a:solidFill>
              <a:schemeClr val="lt1"/>
            </a:solidFill>
          </a:ln>
          <a:effectLst/>
        </c:spPr>
        <c:dLbl>
          <c:idx val="0"/>
          <c:layout>
            <c:manualLayout>
              <c:x val="-0.12021589793915606"/>
              <c:y val="-0.16315789473684211"/>
            </c:manualLayout>
          </c:layout>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132098"/>
                    <a:gd name="adj2" fmla="val 40982"/>
                  </a:avLst>
                </a:prstGeom>
                <a:noFill/>
                <a:ln>
                  <a:noFill/>
                </a:ln>
              </c15:spPr>
            </c:ext>
          </c:extLst>
        </c:dLbl>
      </c:pivotFmt>
      <c:pivotFmt>
        <c:idx val="80"/>
        <c:spPr>
          <a:solidFill>
            <a:schemeClr val="accent1"/>
          </a:solidFill>
          <a:ln w="19050">
            <a:solidFill>
              <a:schemeClr val="lt1"/>
            </a:solidFill>
          </a:ln>
          <a:effectLst/>
        </c:spPr>
      </c:pivotFmt>
      <c:pivotFmt>
        <c:idx val="81"/>
        <c:spPr>
          <a:solidFill>
            <a:schemeClr val="accent1"/>
          </a:solidFill>
          <a:ln w="19050">
            <a:solidFill>
              <a:schemeClr val="lt1"/>
            </a:solidFill>
          </a:ln>
          <a:effectLst/>
        </c:spPr>
        <c:dLbl>
          <c:idx val="0"/>
          <c:layout>
            <c:manualLayout>
              <c:x val="-0.10794896957801767"/>
              <c:y val="2.1052631578947368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2"/>
        <c:spPr>
          <a:solidFill>
            <a:schemeClr val="accent1"/>
          </a:solidFill>
          <a:ln w="19050">
            <a:solidFill>
              <a:schemeClr val="lt1"/>
            </a:solidFill>
          </a:ln>
          <a:effectLst/>
        </c:spPr>
      </c:pivotFmt>
      <c:pivotFmt>
        <c:idx val="83"/>
        <c:spPr>
          <a:solidFill>
            <a:schemeClr val="accent1"/>
          </a:solidFill>
          <a:ln w="19050">
            <a:solidFill>
              <a:schemeClr val="lt1"/>
            </a:solidFill>
          </a:ln>
          <a:effectLst/>
        </c:spPr>
      </c:pivotFmt>
      <c:pivotFmt>
        <c:idx val="84"/>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5"/>
        <c:spPr>
          <a:solidFill>
            <a:schemeClr val="accent1"/>
          </a:solidFill>
          <a:ln w="19050">
            <a:solidFill>
              <a:schemeClr val="lt1"/>
            </a:solidFill>
          </a:ln>
          <a:effectLst/>
        </c:spPr>
        <c:dLbl>
          <c:idx val="0"/>
          <c:layout>
            <c:manualLayout>
              <c:x val="-5.6427870461236505E-2"/>
              <c:y val="0.1368421052631579"/>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6"/>
        <c:spPr>
          <a:solidFill>
            <a:schemeClr val="accent1"/>
          </a:solidFill>
          <a:ln w="19050">
            <a:solidFill>
              <a:schemeClr val="lt1"/>
            </a:solidFill>
          </a:ln>
          <a:effectLst/>
        </c:spPr>
        <c:dLbl>
          <c:idx val="0"/>
          <c:layout>
            <c:manualLayout>
              <c:x val="-6.8694798822374961E-2"/>
              <c:y val="6.3157894736842052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7"/>
        <c:spPr>
          <a:solidFill>
            <a:schemeClr val="accent1"/>
          </a:solidFill>
          <a:ln w="19050">
            <a:solidFill>
              <a:schemeClr val="lt1"/>
            </a:solidFill>
          </a:ln>
          <a:effectLst/>
        </c:spPr>
        <c:dLbl>
          <c:idx val="0"/>
          <c:layout>
            <c:manualLayout>
              <c:x val="-6.8694798822374878E-2"/>
              <c:y val="4.2105263157894736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8"/>
        <c:spPr>
          <a:solidFill>
            <a:schemeClr val="accent1"/>
          </a:solidFill>
          <a:ln w="19050">
            <a:solidFill>
              <a:schemeClr val="lt1"/>
            </a:solidFill>
          </a:ln>
          <a:effectLst/>
        </c:spPr>
        <c:dLbl>
          <c:idx val="0"/>
          <c:layout>
            <c:manualLayout>
              <c:x val="-0.10672227674190392"/>
              <c:y val="-8.9473684210526316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6.7410924713900464E-2"/>
                  <c:h val="0.15375714877745544"/>
                </c:manualLayout>
              </c15:layout>
            </c:ext>
          </c:extLst>
        </c:dLbl>
      </c:pivotFmt>
      <c:pivotFmt>
        <c:idx val="89"/>
        <c:spPr>
          <a:solidFill>
            <a:schemeClr val="accent1"/>
          </a:solidFill>
          <a:ln w="19050">
            <a:solidFill>
              <a:schemeClr val="lt1"/>
            </a:solidFill>
          </a:ln>
          <a:effectLst/>
        </c:spPr>
        <c:dLbl>
          <c:idx val="0"/>
          <c:layout>
            <c:manualLayout>
              <c:x val="-6.1334641805691897E-2"/>
              <c:y val="-0.18947368421052641"/>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0"/>
        <c:spPr>
          <a:solidFill>
            <a:schemeClr val="accent1"/>
          </a:solidFill>
          <a:ln w="19050">
            <a:solidFill>
              <a:schemeClr val="lt1"/>
            </a:solidFill>
          </a:ln>
          <a:effectLst/>
        </c:spPr>
        <c:dLbl>
          <c:idx val="0"/>
          <c:layout>
            <c:manualLayout>
              <c:x val="3.9254170755642741E-2"/>
              <c:y val="-0.14210526315789473"/>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1"/>
        <c:spPr>
          <a:solidFill>
            <a:schemeClr val="accent1"/>
          </a:solidFill>
          <a:ln w="19050">
            <a:solidFill>
              <a:schemeClr val="lt1"/>
            </a:solidFill>
          </a:ln>
          <a:effectLst/>
        </c:spPr>
        <c:dLbl>
          <c:idx val="0"/>
          <c:layout>
            <c:manualLayout>
              <c:x val="2.9440628066732092E-2"/>
              <c:y val="0.12105263157894737"/>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2"/>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3"/>
        <c:spPr>
          <a:solidFill>
            <a:schemeClr val="accent1"/>
          </a:solidFill>
          <a:ln w="19050">
            <a:solidFill>
              <a:schemeClr val="lt1"/>
            </a:solidFill>
          </a:ln>
          <a:effectLst/>
        </c:spPr>
        <c:dLbl>
          <c:idx val="0"/>
          <c:layout>
            <c:manualLayout>
              <c:x val="0.20853778213935231"/>
              <c:y val="-7.8947368421052641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4"/>
        <c:spPr>
          <a:solidFill>
            <a:schemeClr val="accent1"/>
          </a:solidFill>
          <a:ln w="19050">
            <a:solidFill>
              <a:schemeClr val="lt1"/>
            </a:solidFill>
          </a:ln>
          <a:effectLst/>
        </c:spPr>
        <c:dLbl>
          <c:idx val="0"/>
          <c:layout>
            <c:manualLayout>
              <c:x val="0.23307163886162904"/>
              <c:y val="2.6315789473684185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5"/>
        <c:spPr>
          <a:solidFill>
            <a:schemeClr val="accent1"/>
          </a:solidFill>
          <a:ln w="19050">
            <a:solidFill>
              <a:schemeClr val="lt1"/>
            </a:solidFill>
          </a:ln>
          <a:effectLst/>
        </c:spPr>
        <c:dLbl>
          <c:idx val="0"/>
          <c:layout>
            <c:manualLayout>
              <c:x val="0.13984298331697742"/>
              <c:y val="0.10526315789473684"/>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6"/>
        <c:spPr>
          <a:solidFill>
            <a:schemeClr val="accent1"/>
          </a:solidFill>
          <a:ln w="19050">
            <a:solidFill>
              <a:schemeClr val="lt1"/>
            </a:solidFill>
          </a:ln>
          <a:effectLst/>
        </c:spPr>
        <c:dLbl>
          <c:idx val="0"/>
          <c:layout>
            <c:manualLayout>
              <c:x val="7.1148184494602557E-2"/>
              <c:y val="0.1736842105263158"/>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7"/>
        <c:spPr>
          <a:solidFill>
            <a:schemeClr val="accent1"/>
          </a:solidFill>
          <a:ln w="19050">
            <a:solidFill>
              <a:schemeClr val="lt1"/>
            </a:solidFill>
          </a:ln>
          <a:effectLst/>
        </c:spPr>
        <c:dLbl>
          <c:idx val="0"/>
          <c:layout>
            <c:manualLayout>
              <c:x val="7.8508341511285579E-2"/>
              <c:y val="7.3684210526315783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8"/>
        <c:spPr>
          <a:solidFill>
            <a:schemeClr val="accent1"/>
          </a:solidFill>
          <a:ln w="19050">
            <a:solidFill>
              <a:schemeClr val="lt1"/>
            </a:solidFill>
          </a:ln>
          <a:effectLst/>
        </c:spPr>
        <c:dLbl>
          <c:idx val="0"/>
          <c:layout>
            <c:manualLayout>
              <c:x val="-0.12021589793915606"/>
              <c:y val="-0.16315789473684211"/>
            </c:manualLayout>
          </c:layout>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132098"/>
                    <a:gd name="adj2" fmla="val 40982"/>
                  </a:avLst>
                </a:prstGeom>
                <a:noFill/>
                <a:ln>
                  <a:noFill/>
                </a:ln>
              </c15:spPr>
            </c:ext>
          </c:extLst>
        </c:dLbl>
      </c:pivotFmt>
      <c:pivotFmt>
        <c:idx val="99"/>
        <c:spPr>
          <a:solidFill>
            <a:schemeClr val="accent1"/>
          </a:solidFill>
          <a:ln w="19050">
            <a:solidFill>
              <a:schemeClr val="lt1"/>
            </a:solidFill>
          </a:ln>
          <a:effectLst/>
        </c:spPr>
        <c:dLbl>
          <c:idx val="0"/>
          <c:layout>
            <c:manualLayout>
              <c:x val="-0.10794896957801767"/>
              <c:y val="2.1052631578947368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0"/>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1"/>
        <c:spPr>
          <a:solidFill>
            <a:schemeClr val="accent1"/>
          </a:solidFill>
          <a:ln w="19050">
            <a:solidFill>
              <a:schemeClr val="lt1"/>
            </a:solidFill>
          </a:ln>
          <a:effectLst/>
        </c:spPr>
        <c:dLbl>
          <c:idx val="0"/>
          <c:layout>
            <c:manualLayout>
              <c:x val="-5.6427870461236505E-2"/>
              <c:y val="0.1368421052631579"/>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2"/>
        <c:spPr>
          <a:solidFill>
            <a:schemeClr val="accent1"/>
          </a:solidFill>
          <a:ln w="19050">
            <a:solidFill>
              <a:schemeClr val="lt1"/>
            </a:solidFill>
          </a:ln>
          <a:effectLst/>
        </c:spPr>
        <c:dLbl>
          <c:idx val="0"/>
          <c:layout>
            <c:manualLayout>
              <c:x val="-6.8694798822374961E-2"/>
              <c:y val="6.3157894736842052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3"/>
        <c:spPr>
          <a:solidFill>
            <a:schemeClr val="accent1"/>
          </a:solidFill>
          <a:ln w="19050">
            <a:solidFill>
              <a:schemeClr val="lt1"/>
            </a:solidFill>
          </a:ln>
          <a:effectLst/>
        </c:spPr>
        <c:dLbl>
          <c:idx val="0"/>
          <c:layout>
            <c:manualLayout>
              <c:x val="-6.8694798822374878E-2"/>
              <c:y val="4.2105263157894736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4"/>
        <c:spPr>
          <a:solidFill>
            <a:schemeClr val="accent1"/>
          </a:solidFill>
          <a:ln w="19050">
            <a:solidFill>
              <a:schemeClr val="lt1"/>
            </a:solidFill>
          </a:ln>
          <a:effectLst/>
        </c:spPr>
        <c:dLbl>
          <c:idx val="0"/>
          <c:layout>
            <c:manualLayout>
              <c:x val="-0.10672227674190392"/>
              <c:y val="-8.9473684210526316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6.7410924713900464E-2"/>
                  <c:h val="0.15375714877745544"/>
                </c:manualLayout>
              </c15:layout>
            </c:ext>
          </c:extLst>
        </c:dLbl>
      </c:pivotFmt>
      <c:pivotFmt>
        <c:idx val="105"/>
        <c:spPr>
          <a:solidFill>
            <a:schemeClr val="accent1"/>
          </a:solidFill>
          <a:ln w="19050">
            <a:solidFill>
              <a:schemeClr val="lt1"/>
            </a:solidFill>
          </a:ln>
          <a:effectLst/>
        </c:spPr>
        <c:dLbl>
          <c:idx val="0"/>
          <c:layout>
            <c:manualLayout>
              <c:x val="-6.1334641805691897E-2"/>
              <c:y val="-0.18947368421052641"/>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6"/>
        <c:spPr>
          <a:solidFill>
            <a:schemeClr val="accent1"/>
          </a:solidFill>
          <a:ln w="19050">
            <a:solidFill>
              <a:schemeClr val="lt1"/>
            </a:solidFill>
          </a:ln>
          <a:effectLst/>
        </c:spPr>
        <c:dLbl>
          <c:idx val="0"/>
          <c:layout>
            <c:manualLayout>
              <c:x val="3.9254170755642741E-2"/>
              <c:y val="-0.14210526315789473"/>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7"/>
        <c:spPr>
          <a:solidFill>
            <a:schemeClr val="accent1"/>
          </a:solidFill>
          <a:ln w="19050">
            <a:solidFill>
              <a:schemeClr val="lt1"/>
            </a:solidFill>
          </a:ln>
          <a:effectLst/>
        </c:spPr>
        <c:dLbl>
          <c:idx val="0"/>
          <c:layout>
            <c:manualLayout>
              <c:x val="2.9440628066732092E-2"/>
              <c:y val="0.12105263157894737"/>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8"/>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9"/>
        <c:spPr>
          <a:solidFill>
            <a:schemeClr val="accent1"/>
          </a:solidFill>
          <a:ln w="19050">
            <a:solidFill>
              <a:schemeClr val="lt1"/>
            </a:solidFill>
          </a:ln>
          <a:effectLst/>
        </c:spPr>
        <c:dLbl>
          <c:idx val="0"/>
          <c:layout>
            <c:manualLayout>
              <c:x val="0.20853778213935231"/>
              <c:y val="-7.8947368421052641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10"/>
        <c:spPr>
          <a:solidFill>
            <a:schemeClr val="accent1"/>
          </a:solidFill>
          <a:ln w="19050">
            <a:solidFill>
              <a:schemeClr val="lt1"/>
            </a:solidFill>
          </a:ln>
          <a:effectLst/>
        </c:spPr>
        <c:dLbl>
          <c:idx val="0"/>
          <c:layout>
            <c:manualLayout>
              <c:x val="0.23307163886162904"/>
              <c:y val="2.6315789473684185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11"/>
        <c:spPr>
          <a:solidFill>
            <a:schemeClr val="accent1"/>
          </a:solidFill>
          <a:ln w="19050">
            <a:solidFill>
              <a:schemeClr val="lt1"/>
            </a:solidFill>
          </a:ln>
          <a:effectLst/>
        </c:spPr>
        <c:dLbl>
          <c:idx val="0"/>
          <c:layout>
            <c:manualLayout>
              <c:x val="0.13984298331697742"/>
              <c:y val="0.10526315789473684"/>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12"/>
        <c:spPr>
          <a:solidFill>
            <a:schemeClr val="accent1"/>
          </a:solidFill>
          <a:ln w="19050">
            <a:solidFill>
              <a:schemeClr val="lt1"/>
            </a:solidFill>
          </a:ln>
          <a:effectLst/>
        </c:spPr>
        <c:dLbl>
          <c:idx val="0"/>
          <c:layout>
            <c:manualLayout>
              <c:x val="7.1148184494602557E-2"/>
              <c:y val="0.1736842105263158"/>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13"/>
        <c:spPr>
          <a:solidFill>
            <a:schemeClr val="accent1"/>
          </a:solidFill>
          <a:ln w="19050">
            <a:solidFill>
              <a:schemeClr val="lt1"/>
            </a:solidFill>
          </a:ln>
          <a:effectLst/>
        </c:spPr>
        <c:dLbl>
          <c:idx val="0"/>
          <c:layout>
            <c:manualLayout>
              <c:x val="7.8508341511285579E-2"/>
              <c:y val="7.3684210526315783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14"/>
        <c:spPr>
          <a:solidFill>
            <a:schemeClr val="accent1"/>
          </a:solidFill>
          <a:ln w="19050">
            <a:solidFill>
              <a:schemeClr val="lt1"/>
            </a:solidFill>
          </a:ln>
          <a:effectLst/>
        </c:spPr>
        <c:dLbl>
          <c:idx val="0"/>
          <c:layout>
            <c:manualLayout>
              <c:x val="-0.12021589793915606"/>
              <c:y val="-0.16315789473684211"/>
            </c:manualLayout>
          </c:layout>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132098"/>
                    <a:gd name="adj2" fmla="val 40982"/>
                  </a:avLst>
                </a:prstGeom>
                <a:noFill/>
                <a:ln>
                  <a:noFill/>
                </a:ln>
              </c15:spPr>
            </c:ext>
          </c:extLst>
        </c:dLbl>
      </c:pivotFmt>
      <c:pivotFmt>
        <c:idx val="115"/>
        <c:spPr>
          <a:solidFill>
            <a:schemeClr val="accent1"/>
          </a:solidFill>
          <a:ln w="19050">
            <a:solidFill>
              <a:schemeClr val="lt1"/>
            </a:solidFill>
          </a:ln>
          <a:effectLst/>
        </c:spPr>
        <c:dLbl>
          <c:idx val="0"/>
          <c:layout>
            <c:manualLayout>
              <c:x val="-0.10794896957801767"/>
              <c:y val="2.1052631578947368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s>
    <c:plotArea>
      <c:layout>
        <c:manualLayout>
          <c:layoutTarget val="inner"/>
          <c:xMode val="edge"/>
          <c:yMode val="edge"/>
          <c:x val="0.28653574215882482"/>
          <c:y val="0.13568172399502693"/>
          <c:w val="0.39553599715639082"/>
          <c:h val="0.84852880232076267"/>
        </c:manualLayout>
      </c:layout>
      <c:doughnutChart>
        <c:varyColors val="1"/>
        <c:ser>
          <c:idx val="0"/>
          <c:order val="0"/>
          <c:tx>
            <c:strRef>
              <c:f>Sheet7!$B$3</c:f>
              <c:strCache>
                <c:ptCount val="1"/>
                <c:pt idx="0">
                  <c:v>Sum of tourism_expenditures (Spending by international tourists in US dollars)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772-4F7F-AC0E-1AB3856FF35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772-4F7F-AC0E-1AB3856FF35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772-4F7F-AC0E-1AB3856FF35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772-4F7F-AC0E-1AB3856FF35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772-4F7F-AC0E-1AB3856FF35F}"/>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5772-4F7F-AC0E-1AB3856FF35F}"/>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5772-4F7F-AC0E-1AB3856FF35F}"/>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5772-4F7F-AC0E-1AB3856FF35F}"/>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5772-4F7F-AC0E-1AB3856FF35F}"/>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5772-4F7F-AC0E-1AB3856FF35F}"/>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5772-4F7F-AC0E-1AB3856FF35F}"/>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5772-4F7F-AC0E-1AB3856FF35F}"/>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5772-4F7F-AC0E-1AB3856FF35F}"/>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5772-4F7F-AC0E-1AB3856FF35F}"/>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5772-4F7F-AC0E-1AB3856FF35F}"/>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F-5772-4F7F-AC0E-1AB3856FF35F}"/>
              </c:ext>
            </c:extLst>
          </c:dPt>
          <c:dPt>
            <c:idx val="16"/>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21-5772-4F7F-AC0E-1AB3856FF35F}"/>
              </c:ext>
            </c:extLst>
          </c:dPt>
          <c:dPt>
            <c:idx val="17"/>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23-5772-4F7F-AC0E-1AB3856FF35F}"/>
              </c:ext>
            </c:extLst>
          </c:dPt>
          <c:dPt>
            <c:idx val="18"/>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25-5772-4F7F-AC0E-1AB3856FF35F}"/>
              </c:ext>
            </c:extLst>
          </c:dPt>
          <c:dLbls>
            <c:dLbl>
              <c:idx val="0"/>
              <c:layout>
                <c:manualLayout>
                  <c:x val="-5.6427870461236505E-2"/>
                  <c:y val="0.136842105263157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772-4F7F-AC0E-1AB3856FF35F}"/>
                </c:ext>
              </c:extLst>
            </c:dLbl>
            <c:dLbl>
              <c:idx val="1"/>
              <c:layout>
                <c:manualLayout>
                  <c:x val="-6.8694798822374961E-2"/>
                  <c:y val="6.315789473684205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772-4F7F-AC0E-1AB3856FF35F}"/>
                </c:ext>
              </c:extLst>
            </c:dLbl>
            <c:dLbl>
              <c:idx val="2"/>
              <c:layout>
                <c:manualLayout>
                  <c:x val="-6.8694798822374878E-2"/>
                  <c:y val="4.210526315789473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772-4F7F-AC0E-1AB3856FF35F}"/>
                </c:ext>
              </c:extLst>
            </c:dLbl>
            <c:dLbl>
              <c:idx val="3"/>
              <c:layout>
                <c:manualLayout>
                  <c:x val="-0.10672227674190392"/>
                  <c:y val="-8.9473684210526316E-2"/>
                </c:manualLayout>
              </c:layout>
              <c:showLegendKey val="0"/>
              <c:showVal val="0"/>
              <c:showCatName val="1"/>
              <c:showSerName val="0"/>
              <c:showPercent val="1"/>
              <c:showBubbleSize val="0"/>
              <c:extLst>
                <c:ext xmlns:c15="http://schemas.microsoft.com/office/drawing/2012/chart" uri="{CE6537A1-D6FC-4f65-9D91-7224C49458BB}">
                  <c15:layout>
                    <c:manualLayout>
                      <c:w val="6.7410924713900464E-2"/>
                      <c:h val="0.15375714877745544"/>
                    </c:manualLayout>
                  </c15:layout>
                </c:ext>
                <c:ext xmlns:c16="http://schemas.microsoft.com/office/drawing/2014/chart" uri="{C3380CC4-5D6E-409C-BE32-E72D297353CC}">
                  <c16:uniqueId val="{00000007-5772-4F7F-AC0E-1AB3856FF35F}"/>
                </c:ext>
              </c:extLst>
            </c:dLbl>
            <c:dLbl>
              <c:idx val="4"/>
              <c:layout>
                <c:manualLayout>
                  <c:x val="-6.1334641805691897E-2"/>
                  <c:y val="-0.18947368421052641"/>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5772-4F7F-AC0E-1AB3856FF35F}"/>
                </c:ext>
              </c:extLst>
            </c:dLbl>
            <c:dLbl>
              <c:idx val="5"/>
              <c:layout>
                <c:manualLayout>
                  <c:x val="3.9254170755642741E-2"/>
                  <c:y val="-0.1421052631578947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5772-4F7F-AC0E-1AB3856FF35F}"/>
                </c:ext>
              </c:extLst>
            </c:dLbl>
            <c:dLbl>
              <c:idx val="6"/>
              <c:layout>
                <c:manualLayout>
                  <c:x val="2.9440628066732092E-2"/>
                  <c:y val="0.12105263157894737"/>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5772-4F7F-AC0E-1AB3856FF35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Sheet7!$A$4:$A$11</c:f>
              <c:strCache>
                <c:ptCount val="7"/>
                <c:pt idx="0">
                  <c:v>2000</c:v>
                </c:pt>
                <c:pt idx="1">
                  <c:v>2001</c:v>
                </c:pt>
                <c:pt idx="2">
                  <c:v>2005</c:v>
                </c:pt>
                <c:pt idx="3">
                  <c:v>2008</c:v>
                </c:pt>
                <c:pt idx="4">
                  <c:v>2010</c:v>
                </c:pt>
                <c:pt idx="5">
                  <c:v>2015</c:v>
                </c:pt>
                <c:pt idx="6">
                  <c:v>2017</c:v>
                </c:pt>
              </c:strCache>
            </c:strRef>
          </c:cat>
          <c:val>
            <c:numRef>
              <c:f>Sheet7!$B$4:$B$11</c:f>
              <c:numCache>
                <c:formatCode>General</c:formatCode>
                <c:ptCount val="7"/>
                <c:pt idx="0">
                  <c:v>48.460333915567929</c:v>
                </c:pt>
                <c:pt idx="1">
                  <c:v>50.159650077335741</c:v>
                </c:pt>
                <c:pt idx="2">
                  <c:v>36.772323738100269</c:v>
                </c:pt>
                <c:pt idx="3">
                  <c:v>68.019578244871511</c:v>
                </c:pt>
                <c:pt idx="4">
                  <c:v>69.069611340556094</c:v>
                </c:pt>
                <c:pt idx="5">
                  <c:v>96.572704247080054</c:v>
                </c:pt>
                <c:pt idx="6">
                  <c:v>99.887138175968786</c:v>
                </c:pt>
              </c:numCache>
            </c:numRef>
          </c:val>
          <c:extLst>
            <c:ext xmlns:c16="http://schemas.microsoft.com/office/drawing/2014/chart" uri="{C3380CC4-5D6E-409C-BE32-E72D297353CC}">
              <c16:uniqueId val="{00000026-5772-4F7F-AC0E-1AB3856FF35F}"/>
            </c:ext>
          </c:extLst>
        </c:ser>
        <c:ser>
          <c:idx val="1"/>
          <c:order val="1"/>
          <c:tx>
            <c:strRef>
              <c:f>Sheet7!$C$3</c:f>
              <c:strCache>
                <c:ptCount val="1"/>
                <c:pt idx="0">
                  <c:v>Sum of tourism_receipts (income in US dollars)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28-5772-4F7F-AC0E-1AB3856FF35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2A-5772-4F7F-AC0E-1AB3856FF35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2C-5772-4F7F-AC0E-1AB3856FF35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2E-5772-4F7F-AC0E-1AB3856FF35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30-5772-4F7F-AC0E-1AB3856FF35F}"/>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32-5772-4F7F-AC0E-1AB3856FF35F}"/>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34-5772-4F7F-AC0E-1AB3856FF35F}"/>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36-5772-4F7F-AC0E-1AB3856FF35F}"/>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38-5772-4F7F-AC0E-1AB3856FF35F}"/>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3A-5772-4F7F-AC0E-1AB3856FF35F}"/>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3C-5772-4F7F-AC0E-1AB3856FF35F}"/>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3E-5772-4F7F-AC0E-1AB3856FF35F}"/>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40-5772-4F7F-AC0E-1AB3856FF35F}"/>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42-5772-4F7F-AC0E-1AB3856FF35F}"/>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44-5772-4F7F-AC0E-1AB3856FF35F}"/>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46-5772-4F7F-AC0E-1AB3856FF35F}"/>
              </c:ext>
            </c:extLst>
          </c:dPt>
          <c:dPt>
            <c:idx val="16"/>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48-5772-4F7F-AC0E-1AB3856FF35F}"/>
              </c:ext>
            </c:extLst>
          </c:dPt>
          <c:dPt>
            <c:idx val="17"/>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4A-5772-4F7F-AC0E-1AB3856FF35F}"/>
              </c:ext>
            </c:extLst>
          </c:dPt>
          <c:dPt>
            <c:idx val="18"/>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4C-5772-4F7F-AC0E-1AB3856FF35F}"/>
              </c:ext>
            </c:extLst>
          </c:dPt>
          <c:dLbls>
            <c:dLbl>
              <c:idx val="0"/>
              <c:layout>
                <c:manualLayout>
                  <c:x val="0.15639623259383079"/>
                  <c:y val="-7.894742523787214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28-5772-4F7F-AC0E-1AB3856FF35F}"/>
                </c:ext>
              </c:extLst>
            </c:dLbl>
            <c:dLbl>
              <c:idx val="1"/>
              <c:layout>
                <c:manualLayout>
                  <c:x val="0.23307163886162904"/>
                  <c:y val="2.631578947368418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2A-5772-4F7F-AC0E-1AB3856FF35F}"/>
                </c:ext>
              </c:extLst>
            </c:dLbl>
            <c:dLbl>
              <c:idx val="2"/>
              <c:layout>
                <c:manualLayout>
                  <c:x val="0.13984298331697742"/>
                  <c:y val="0.1052631578947368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2C-5772-4F7F-AC0E-1AB3856FF35F}"/>
                </c:ext>
              </c:extLst>
            </c:dLbl>
            <c:dLbl>
              <c:idx val="3"/>
              <c:layout>
                <c:manualLayout>
                  <c:x val="7.1148184494602557E-2"/>
                  <c:y val="0.1736842105263158"/>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2E-5772-4F7F-AC0E-1AB3856FF35F}"/>
                </c:ext>
              </c:extLst>
            </c:dLbl>
            <c:dLbl>
              <c:idx val="4"/>
              <c:layout>
                <c:manualLayout>
                  <c:x val="7.8508341511285579E-2"/>
                  <c:y val="7.368421052631578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30-5772-4F7F-AC0E-1AB3856FF35F}"/>
                </c:ext>
              </c:extLst>
            </c:dLbl>
            <c:dLbl>
              <c:idx val="5"/>
              <c:layout>
                <c:manualLayout>
                  <c:x val="-0.12021589793915606"/>
                  <c:y val="-0.16315789473684211"/>
                </c:manualLayout>
              </c:layout>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132098"/>
                        <a:gd name="adj2" fmla="val 40982"/>
                      </a:avLst>
                    </a:prstGeom>
                    <a:noFill/>
                    <a:ln>
                      <a:noFill/>
                    </a:ln>
                  </c15:spPr>
                </c:ext>
                <c:ext xmlns:c16="http://schemas.microsoft.com/office/drawing/2014/chart" uri="{C3380CC4-5D6E-409C-BE32-E72D297353CC}">
                  <c16:uniqueId val="{00000032-5772-4F7F-AC0E-1AB3856FF35F}"/>
                </c:ext>
              </c:extLst>
            </c:dLbl>
            <c:dLbl>
              <c:idx val="6"/>
              <c:layout>
                <c:manualLayout>
                  <c:x val="-0.10794896957801767"/>
                  <c:y val="2.1052631578947368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34-5772-4F7F-AC0E-1AB3856FF35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Sheet7!$A$4:$A$11</c:f>
              <c:strCache>
                <c:ptCount val="7"/>
                <c:pt idx="0">
                  <c:v>2000</c:v>
                </c:pt>
                <c:pt idx="1">
                  <c:v>2001</c:v>
                </c:pt>
                <c:pt idx="2">
                  <c:v>2005</c:v>
                </c:pt>
                <c:pt idx="3">
                  <c:v>2008</c:v>
                </c:pt>
                <c:pt idx="4">
                  <c:v>2010</c:v>
                </c:pt>
                <c:pt idx="5">
                  <c:v>2015</c:v>
                </c:pt>
                <c:pt idx="6">
                  <c:v>2017</c:v>
                </c:pt>
              </c:strCache>
            </c:strRef>
          </c:cat>
          <c:val>
            <c:numRef>
              <c:f>Sheet7!$C$4:$C$11</c:f>
              <c:numCache>
                <c:formatCode>General</c:formatCode>
                <c:ptCount val="7"/>
                <c:pt idx="0">
                  <c:v>44478006544.085228</c:v>
                </c:pt>
                <c:pt idx="1">
                  <c:v>44373992017.677589</c:v>
                </c:pt>
                <c:pt idx="2">
                  <c:v>70375778786.995895</c:v>
                </c:pt>
                <c:pt idx="3">
                  <c:v>156234080807.2984</c:v>
                </c:pt>
                <c:pt idx="4">
                  <c:v>156168215665.3851</c:v>
                </c:pt>
                <c:pt idx="5">
                  <c:v>234571073411.42609</c:v>
                </c:pt>
                <c:pt idx="6">
                  <c:v>275620730835.03888</c:v>
                </c:pt>
              </c:numCache>
            </c:numRef>
          </c:val>
          <c:extLst>
            <c:ext xmlns:c16="http://schemas.microsoft.com/office/drawing/2014/chart" uri="{C3380CC4-5D6E-409C-BE32-E72D297353CC}">
              <c16:uniqueId val="{0000004D-5772-4F7F-AC0E-1AB3856FF35F}"/>
            </c:ext>
          </c:extLst>
        </c:ser>
        <c:dLbls>
          <c:showLegendKey val="0"/>
          <c:showVal val="0"/>
          <c:showCatName val="0"/>
          <c:showSerName val="0"/>
          <c:showPercent val="0"/>
          <c:showBubbleSize val="0"/>
          <c:showLeaderLines val="0"/>
        </c:dLbls>
        <c:firstSliceAng val="0"/>
        <c:holeSize val="75"/>
      </c:doughnutChart>
      <c:spPr>
        <a:noFill/>
        <a:ln w="25400">
          <a:noFill/>
        </a:ln>
        <a:effectLst/>
      </c:spPr>
    </c:plotArea>
    <c:legend>
      <c:legendPos val="r"/>
      <c:layout>
        <c:manualLayout>
          <c:xMode val="edge"/>
          <c:yMode val="edge"/>
          <c:x val="0.89664736154791247"/>
          <c:y val="5.2957728968089521E-2"/>
          <c:w val="8.3725553074266115E-2"/>
          <c:h val="0.8835582262743473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tx1">
        <a:lumMod val="65000"/>
        <a:lumOff val="35000"/>
      </a:schemeClr>
    </a:solidFill>
    <a:ln w="9525" cap="flat" cmpd="sng" algn="ctr">
      <a:solidFill>
        <a:schemeClr val="tx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[world_tourism_economy_data5.xlsx]Average spend per tourist!PivotTable2</c:name>
    <c:fmtId val="-1"/>
  </c:pivotSource>
  <c:chart>
    <c:title>
      <c:tx>
        <c:rich>
          <a:bodyPr rot="0" spcFirstLastPara="1" vertOverflow="ellipsis" vert="horz" wrap="square" anchor="ctr" anchorCtr="1"/>
          <a:lstStyle/>
          <a:p>
            <a:pPr>
              <a:defRPr sz="1200" b="0" i="0" u="none" strike="noStrike" kern="1200" spc="0" baseline="0">
                <a:solidFill>
                  <a:schemeClr val="bg1"/>
                </a:solidFill>
                <a:latin typeface="+mn-lt"/>
                <a:ea typeface="+mn-ea"/>
                <a:cs typeface="+mn-cs"/>
              </a:defRPr>
            </a:pPr>
            <a:r>
              <a:rPr lang="en-US" sz="1200" b="1">
                <a:solidFill>
                  <a:schemeClr val="bg1"/>
                </a:solidFill>
              </a:rPr>
              <a:t>Tourist arrivals trend by Country</a:t>
            </a:r>
          </a:p>
        </c:rich>
      </c:tx>
      <c:layout>
        <c:manualLayout>
          <c:xMode val="edge"/>
          <c:yMode val="edge"/>
          <c:x val="0.14796883497670896"/>
          <c:y val="1.3182852143482067E-2"/>
        </c:manualLayout>
      </c:layout>
      <c:overlay val="0"/>
      <c:spPr>
        <a:solidFill>
          <a:schemeClr val="accent5">
            <a:lumMod val="75000"/>
          </a:schemeClr>
        </a:solidFill>
        <a:ln>
          <a:noFill/>
        </a:ln>
        <a:effectLst/>
      </c:spPr>
      <c:txPr>
        <a:bodyPr rot="0" spcFirstLastPara="1" vertOverflow="ellipsis" vert="horz" wrap="square" anchor="ctr" anchorCtr="1"/>
        <a:lstStyle/>
        <a:p>
          <a:pPr>
            <a:defRPr sz="1200" b="0"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1">
                <a:lumMod val="60000"/>
              </a:schemeClr>
            </a:solidFill>
            <a:ln w="9525">
              <a:solidFill>
                <a:schemeClr val="accent1">
                  <a:lumMod val="60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4"/>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5"/>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1"/>
          </a:solidFill>
          <a:ln w="28575" cap="rnd">
            <a:solidFill>
              <a:schemeClr val="accent1"/>
            </a:solidFill>
            <a:round/>
          </a:ln>
          <a:effectLst/>
        </c:spPr>
        <c:marker>
          <c:symbol val="circle"/>
          <c:size val="5"/>
          <c:spPr>
            <a:solidFill>
              <a:schemeClr val="accent1">
                <a:lumMod val="60000"/>
              </a:schemeClr>
            </a:solidFill>
            <a:ln w="9525">
              <a:solidFill>
                <a:schemeClr val="accent1">
                  <a:lumMod val="60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9"/>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0"/>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2"/>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3"/>
        <c:spPr>
          <a:solidFill>
            <a:schemeClr val="accent1"/>
          </a:solidFill>
          <a:ln w="28575" cap="rnd">
            <a:solidFill>
              <a:schemeClr val="accent1"/>
            </a:solidFill>
            <a:round/>
          </a:ln>
          <a:effectLst/>
        </c:spPr>
        <c:marker>
          <c:symbol val="circle"/>
          <c:size val="5"/>
          <c:spPr>
            <a:solidFill>
              <a:schemeClr val="accent1">
                <a:lumMod val="60000"/>
              </a:schemeClr>
            </a:solidFill>
            <a:ln w="9525">
              <a:solidFill>
                <a:schemeClr val="accent1">
                  <a:lumMod val="60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6"/>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7"/>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8"/>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9"/>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0"/>
        <c:spPr>
          <a:solidFill>
            <a:schemeClr val="accent1"/>
          </a:solidFill>
          <a:ln w="28575" cap="rnd">
            <a:solidFill>
              <a:schemeClr val="accent1"/>
            </a:solidFill>
            <a:round/>
          </a:ln>
          <a:effectLst/>
        </c:spPr>
        <c:marker>
          <c:symbol val="circle"/>
          <c:size val="5"/>
          <c:spPr>
            <a:solidFill>
              <a:schemeClr val="accent1">
                <a:lumMod val="60000"/>
              </a:schemeClr>
            </a:solidFill>
            <a:ln w="9525">
              <a:solidFill>
                <a:schemeClr val="accent1">
                  <a:lumMod val="60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2"/>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3"/>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4"/>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5"/>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6"/>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7"/>
        <c:spPr>
          <a:solidFill>
            <a:schemeClr val="accent1"/>
          </a:solidFill>
          <a:ln w="28575" cap="rnd">
            <a:solidFill>
              <a:schemeClr val="accent1"/>
            </a:solidFill>
            <a:round/>
          </a:ln>
          <a:effectLst/>
        </c:spPr>
        <c:marker>
          <c:symbol val="circle"/>
          <c:size val="5"/>
          <c:spPr>
            <a:solidFill>
              <a:schemeClr val="accent1">
                <a:lumMod val="60000"/>
              </a:schemeClr>
            </a:solidFill>
            <a:ln w="9525">
              <a:solidFill>
                <a:schemeClr val="accent1">
                  <a:lumMod val="60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8.7108858183936599E-2"/>
          <c:y val="0.17532188684747738"/>
          <c:w val="0.85503582322479965"/>
          <c:h val="0.40543261039738454"/>
        </c:manualLayout>
      </c:layout>
      <c:lineChart>
        <c:grouping val="standard"/>
        <c:varyColors val="0"/>
        <c:ser>
          <c:idx val="0"/>
          <c:order val="0"/>
          <c:tx>
            <c:strRef>
              <c:f>'Average spend per tourist'!$B$3:$B$4</c:f>
              <c:strCache>
                <c:ptCount val="1"/>
                <c:pt idx="0">
                  <c:v>2000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'Average spend per tourist'!$A$5:$A$15</c:f>
              <c:strCache>
                <c:ptCount val="10"/>
                <c:pt idx="0">
                  <c:v>Africa Eastern and Southern</c:v>
                </c:pt>
                <c:pt idx="1">
                  <c:v>Antigua and Barbuda</c:v>
                </c:pt>
                <c:pt idx="2">
                  <c:v>Arab World</c:v>
                </c:pt>
                <c:pt idx="3">
                  <c:v>Argentina</c:v>
                </c:pt>
                <c:pt idx="4">
                  <c:v>Armenia</c:v>
                </c:pt>
                <c:pt idx="5">
                  <c:v>Australia</c:v>
                </c:pt>
                <c:pt idx="6">
                  <c:v>Austria</c:v>
                </c:pt>
                <c:pt idx="7">
                  <c:v>Belgium</c:v>
                </c:pt>
                <c:pt idx="8">
                  <c:v>India</c:v>
                </c:pt>
                <c:pt idx="9">
                  <c:v>United Arab Emirates</c:v>
                </c:pt>
              </c:strCache>
            </c:strRef>
          </c:cat>
          <c:val>
            <c:numRef>
              <c:f>'Average spend per tourist'!$B$5:$B$15</c:f>
              <c:numCache>
                <c:formatCode>General</c:formatCode>
                <c:ptCount val="10"/>
                <c:pt idx="0">
                  <c:v>15353177.301305</c:v>
                </c:pt>
                <c:pt idx="2">
                  <c:v>80985285.301251397</c:v>
                </c:pt>
                <c:pt idx="3">
                  <c:v>2909000</c:v>
                </c:pt>
                <c:pt idx="8">
                  <c:v>2649000</c:v>
                </c:pt>
                <c:pt idx="9">
                  <c:v>19313000</c:v>
                </c:pt>
              </c:numCache>
            </c:numRef>
          </c:val>
          <c:smooth val="0"/>
          <c:extLst>
            <c:ext xmlns:c16="http://schemas.microsoft.com/office/drawing/2014/chart" uri="{C3380CC4-5D6E-409C-BE32-E72D297353CC}">
              <c16:uniqueId val="{00000000-68C5-46DB-AF46-1E399D84CBFD}"/>
            </c:ext>
          </c:extLst>
        </c:ser>
        <c:ser>
          <c:idx val="1"/>
          <c:order val="1"/>
          <c:tx>
            <c:strRef>
              <c:f>'Average spend per tourist'!$C$3:$C$4</c:f>
              <c:strCache>
                <c:ptCount val="1"/>
                <c:pt idx="0">
                  <c:v>2001</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'Average spend per tourist'!$A$5:$A$15</c:f>
              <c:strCache>
                <c:ptCount val="10"/>
                <c:pt idx="0">
                  <c:v>Africa Eastern and Southern</c:v>
                </c:pt>
                <c:pt idx="1">
                  <c:v>Antigua and Barbuda</c:v>
                </c:pt>
                <c:pt idx="2">
                  <c:v>Arab World</c:v>
                </c:pt>
                <c:pt idx="3">
                  <c:v>Argentina</c:v>
                </c:pt>
                <c:pt idx="4">
                  <c:v>Armenia</c:v>
                </c:pt>
                <c:pt idx="5">
                  <c:v>Australia</c:v>
                </c:pt>
                <c:pt idx="6">
                  <c:v>Austria</c:v>
                </c:pt>
                <c:pt idx="7">
                  <c:v>Belgium</c:v>
                </c:pt>
                <c:pt idx="8">
                  <c:v>India</c:v>
                </c:pt>
                <c:pt idx="9">
                  <c:v>United Arab Emirates</c:v>
                </c:pt>
              </c:strCache>
            </c:strRef>
          </c:cat>
          <c:val>
            <c:numRef>
              <c:f>'Average spend per tourist'!$C$5:$C$15</c:f>
              <c:numCache>
                <c:formatCode>General</c:formatCode>
                <c:ptCount val="10"/>
                <c:pt idx="0">
                  <c:v>15854696.2860028</c:v>
                </c:pt>
                <c:pt idx="2">
                  <c:v>80985285.301251397</c:v>
                </c:pt>
                <c:pt idx="3">
                  <c:v>2620000</c:v>
                </c:pt>
                <c:pt idx="8">
                  <c:v>2537000</c:v>
                </c:pt>
                <c:pt idx="9">
                  <c:v>19313000</c:v>
                </c:pt>
              </c:numCache>
            </c:numRef>
          </c:val>
          <c:smooth val="0"/>
          <c:extLst>
            <c:ext xmlns:c16="http://schemas.microsoft.com/office/drawing/2014/chart" uri="{C3380CC4-5D6E-409C-BE32-E72D297353CC}">
              <c16:uniqueId val="{00000001-68C5-46DB-AF46-1E399D84CBFD}"/>
            </c:ext>
          </c:extLst>
        </c:ser>
        <c:ser>
          <c:idx val="2"/>
          <c:order val="2"/>
          <c:tx>
            <c:strRef>
              <c:f>'Average spend per tourist'!$D$3:$D$4</c:f>
              <c:strCache>
                <c:ptCount val="1"/>
                <c:pt idx="0">
                  <c:v>2005</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'Average spend per tourist'!$A$5:$A$15</c:f>
              <c:strCache>
                <c:ptCount val="10"/>
                <c:pt idx="0">
                  <c:v>Africa Eastern and Southern</c:v>
                </c:pt>
                <c:pt idx="1">
                  <c:v>Antigua and Barbuda</c:v>
                </c:pt>
                <c:pt idx="2">
                  <c:v>Arab World</c:v>
                </c:pt>
                <c:pt idx="3">
                  <c:v>Argentina</c:v>
                </c:pt>
                <c:pt idx="4">
                  <c:v>Armenia</c:v>
                </c:pt>
                <c:pt idx="5">
                  <c:v>Australia</c:v>
                </c:pt>
                <c:pt idx="6">
                  <c:v>Austria</c:v>
                </c:pt>
                <c:pt idx="7">
                  <c:v>Belgium</c:v>
                </c:pt>
                <c:pt idx="8">
                  <c:v>India</c:v>
                </c:pt>
                <c:pt idx="9">
                  <c:v>United Arab Emirates</c:v>
                </c:pt>
              </c:strCache>
            </c:strRef>
          </c:cat>
          <c:val>
            <c:numRef>
              <c:f>'Average spend per tourist'!$D$5:$D$15</c:f>
              <c:numCache>
                <c:formatCode>General</c:formatCode>
                <c:ptCount val="10"/>
                <c:pt idx="0">
                  <c:v>19917566.372901101</c:v>
                </c:pt>
                <c:pt idx="2">
                  <c:v>82979842.626638293</c:v>
                </c:pt>
                <c:pt idx="3">
                  <c:v>3823000</c:v>
                </c:pt>
                <c:pt idx="8">
                  <c:v>3919000</c:v>
                </c:pt>
                <c:pt idx="9">
                  <c:v>19313000</c:v>
                </c:pt>
              </c:numCache>
            </c:numRef>
          </c:val>
          <c:smooth val="0"/>
          <c:extLst>
            <c:ext xmlns:c16="http://schemas.microsoft.com/office/drawing/2014/chart" uri="{C3380CC4-5D6E-409C-BE32-E72D297353CC}">
              <c16:uniqueId val="{00000002-68C5-46DB-AF46-1E399D84CBFD}"/>
            </c:ext>
          </c:extLst>
        </c:ser>
        <c:ser>
          <c:idx val="3"/>
          <c:order val="3"/>
          <c:tx>
            <c:strRef>
              <c:f>'Average spend per tourist'!$E$3:$E$4</c:f>
              <c:strCache>
                <c:ptCount val="1"/>
                <c:pt idx="0">
                  <c:v>2008</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'Average spend per tourist'!$A$5:$A$15</c:f>
              <c:strCache>
                <c:ptCount val="10"/>
                <c:pt idx="0">
                  <c:v>Africa Eastern and Southern</c:v>
                </c:pt>
                <c:pt idx="1">
                  <c:v>Antigua and Barbuda</c:v>
                </c:pt>
                <c:pt idx="2">
                  <c:v>Arab World</c:v>
                </c:pt>
                <c:pt idx="3">
                  <c:v>Argentina</c:v>
                </c:pt>
                <c:pt idx="4">
                  <c:v>Armenia</c:v>
                </c:pt>
                <c:pt idx="5">
                  <c:v>Australia</c:v>
                </c:pt>
                <c:pt idx="6">
                  <c:v>Austria</c:v>
                </c:pt>
                <c:pt idx="7">
                  <c:v>Belgium</c:v>
                </c:pt>
                <c:pt idx="8">
                  <c:v>India</c:v>
                </c:pt>
                <c:pt idx="9">
                  <c:v>United Arab Emirates</c:v>
                </c:pt>
              </c:strCache>
            </c:strRef>
          </c:cat>
          <c:val>
            <c:numRef>
              <c:f>'Average spend per tourist'!$E$5:$E$15</c:f>
              <c:numCache>
                <c:formatCode>General</c:formatCode>
                <c:ptCount val="10"/>
                <c:pt idx="0">
                  <c:v>25413098.267451499</c:v>
                </c:pt>
                <c:pt idx="1">
                  <c:v>863000</c:v>
                </c:pt>
                <c:pt idx="2">
                  <c:v>115508623.576591</c:v>
                </c:pt>
                <c:pt idx="3">
                  <c:v>4700000</c:v>
                </c:pt>
                <c:pt idx="4">
                  <c:v>558000</c:v>
                </c:pt>
                <c:pt idx="5">
                  <c:v>5586000</c:v>
                </c:pt>
                <c:pt idx="6">
                  <c:v>21935000</c:v>
                </c:pt>
                <c:pt idx="8">
                  <c:v>5283000</c:v>
                </c:pt>
                <c:pt idx="9">
                  <c:v>19313000</c:v>
                </c:pt>
              </c:numCache>
            </c:numRef>
          </c:val>
          <c:smooth val="0"/>
          <c:extLst>
            <c:ext xmlns:c16="http://schemas.microsoft.com/office/drawing/2014/chart" uri="{C3380CC4-5D6E-409C-BE32-E72D297353CC}">
              <c16:uniqueId val="{00000003-68C5-46DB-AF46-1E399D84CBFD}"/>
            </c:ext>
          </c:extLst>
        </c:ser>
        <c:ser>
          <c:idx val="4"/>
          <c:order val="4"/>
          <c:tx>
            <c:strRef>
              <c:f>'Average spend per tourist'!$F$3:$F$4</c:f>
              <c:strCache>
                <c:ptCount val="1"/>
                <c:pt idx="0">
                  <c:v>2010</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'Average spend per tourist'!$A$5:$A$15</c:f>
              <c:strCache>
                <c:ptCount val="10"/>
                <c:pt idx="0">
                  <c:v>Africa Eastern and Southern</c:v>
                </c:pt>
                <c:pt idx="1">
                  <c:v>Antigua and Barbuda</c:v>
                </c:pt>
                <c:pt idx="2">
                  <c:v>Arab World</c:v>
                </c:pt>
                <c:pt idx="3">
                  <c:v>Argentina</c:v>
                </c:pt>
                <c:pt idx="4">
                  <c:v>Armenia</c:v>
                </c:pt>
                <c:pt idx="5">
                  <c:v>Australia</c:v>
                </c:pt>
                <c:pt idx="6">
                  <c:v>Austria</c:v>
                </c:pt>
                <c:pt idx="7">
                  <c:v>Belgium</c:v>
                </c:pt>
                <c:pt idx="8">
                  <c:v>India</c:v>
                </c:pt>
                <c:pt idx="9">
                  <c:v>United Arab Emirates</c:v>
                </c:pt>
              </c:strCache>
            </c:strRef>
          </c:cat>
          <c:val>
            <c:numRef>
              <c:f>'Average spend per tourist'!$F$5:$F$15</c:f>
              <c:numCache>
                <c:formatCode>General</c:formatCode>
                <c:ptCount val="10"/>
                <c:pt idx="0">
                  <c:v>29071500.511440601</c:v>
                </c:pt>
                <c:pt idx="1">
                  <c:v>788000</c:v>
                </c:pt>
                <c:pt idx="2">
                  <c:v>130381603.79437201</c:v>
                </c:pt>
                <c:pt idx="3">
                  <c:v>6800000</c:v>
                </c:pt>
                <c:pt idx="4">
                  <c:v>684000</c:v>
                </c:pt>
                <c:pt idx="5">
                  <c:v>5790000</c:v>
                </c:pt>
                <c:pt idx="8">
                  <c:v>5776000</c:v>
                </c:pt>
                <c:pt idx="9">
                  <c:v>19313000</c:v>
                </c:pt>
              </c:numCache>
            </c:numRef>
          </c:val>
          <c:smooth val="0"/>
          <c:extLst>
            <c:ext xmlns:c16="http://schemas.microsoft.com/office/drawing/2014/chart" uri="{C3380CC4-5D6E-409C-BE32-E72D297353CC}">
              <c16:uniqueId val="{00000004-68C5-46DB-AF46-1E399D84CBFD}"/>
            </c:ext>
          </c:extLst>
        </c:ser>
        <c:ser>
          <c:idx val="5"/>
          <c:order val="5"/>
          <c:tx>
            <c:strRef>
              <c:f>'Average spend per tourist'!$G$3:$G$4</c:f>
              <c:strCache>
                <c:ptCount val="1"/>
                <c:pt idx="0">
                  <c:v>2015</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'Average spend per tourist'!$A$5:$A$15</c:f>
              <c:strCache>
                <c:ptCount val="10"/>
                <c:pt idx="0">
                  <c:v>Africa Eastern and Southern</c:v>
                </c:pt>
                <c:pt idx="1">
                  <c:v>Antigua and Barbuda</c:v>
                </c:pt>
                <c:pt idx="2">
                  <c:v>Arab World</c:v>
                </c:pt>
                <c:pt idx="3">
                  <c:v>Argentina</c:v>
                </c:pt>
                <c:pt idx="4">
                  <c:v>Armenia</c:v>
                </c:pt>
                <c:pt idx="5">
                  <c:v>Australia</c:v>
                </c:pt>
                <c:pt idx="6">
                  <c:v>Austria</c:v>
                </c:pt>
                <c:pt idx="7">
                  <c:v>Belgium</c:v>
                </c:pt>
                <c:pt idx="8">
                  <c:v>India</c:v>
                </c:pt>
                <c:pt idx="9">
                  <c:v>United Arab Emirates</c:v>
                </c:pt>
              </c:strCache>
            </c:strRef>
          </c:cat>
          <c:val>
            <c:numRef>
              <c:f>'Average spend per tourist'!$G$5:$G$15</c:f>
              <c:numCache>
                <c:formatCode>General</c:formatCode>
                <c:ptCount val="10"/>
                <c:pt idx="0">
                  <c:v>35318681.464549899</c:v>
                </c:pt>
                <c:pt idx="1">
                  <c:v>894000</c:v>
                </c:pt>
                <c:pt idx="2">
                  <c:v>122563985.74780799</c:v>
                </c:pt>
                <c:pt idx="3">
                  <c:v>6816000</c:v>
                </c:pt>
                <c:pt idx="4">
                  <c:v>1192000</c:v>
                </c:pt>
                <c:pt idx="5">
                  <c:v>7449000</c:v>
                </c:pt>
                <c:pt idx="6">
                  <c:v>26728000</c:v>
                </c:pt>
                <c:pt idx="7">
                  <c:v>8355000</c:v>
                </c:pt>
                <c:pt idx="8">
                  <c:v>13284000</c:v>
                </c:pt>
                <c:pt idx="9">
                  <c:v>19313000</c:v>
                </c:pt>
              </c:numCache>
            </c:numRef>
          </c:val>
          <c:smooth val="0"/>
          <c:extLst>
            <c:ext xmlns:c16="http://schemas.microsoft.com/office/drawing/2014/chart" uri="{C3380CC4-5D6E-409C-BE32-E72D297353CC}">
              <c16:uniqueId val="{00000005-68C5-46DB-AF46-1E399D84CBFD}"/>
            </c:ext>
          </c:extLst>
        </c:ser>
        <c:ser>
          <c:idx val="6"/>
          <c:order val="6"/>
          <c:tx>
            <c:strRef>
              <c:f>'Average spend per tourist'!$H$3:$H$4</c:f>
              <c:strCache>
                <c:ptCount val="1"/>
                <c:pt idx="0">
                  <c:v>2017</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strRef>
              <c:f>'Average spend per tourist'!$A$5:$A$15</c:f>
              <c:strCache>
                <c:ptCount val="10"/>
                <c:pt idx="0">
                  <c:v>Africa Eastern and Southern</c:v>
                </c:pt>
                <c:pt idx="1">
                  <c:v>Antigua and Barbuda</c:v>
                </c:pt>
                <c:pt idx="2">
                  <c:v>Arab World</c:v>
                </c:pt>
                <c:pt idx="3">
                  <c:v>Argentina</c:v>
                </c:pt>
                <c:pt idx="4">
                  <c:v>Armenia</c:v>
                </c:pt>
                <c:pt idx="5">
                  <c:v>Australia</c:v>
                </c:pt>
                <c:pt idx="6">
                  <c:v>Austria</c:v>
                </c:pt>
                <c:pt idx="7">
                  <c:v>Belgium</c:v>
                </c:pt>
                <c:pt idx="8">
                  <c:v>India</c:v>
                </c:pt>
                <c:pt idx="9">
                  <c:v>United Arab Emirates</c:v>
                </c:pt>
              </c:strCache>
            </c:strRef>
          </c:cat>
          <c:val>
            <c:numRef>
              <c:f>'Average spend per tourist'!$H$5:$H$15</c:f>
              <c:numCache>
                <c:formatCode>General</c:formatCode>
                <c:ptCount val="10"/>
                <c:pt idx="0">
                  <c:v>38258347.875597</c:v>
                </c:pt>
                <c:pt idx="1">
                  <c:v>1040000</c:v>
                </c:pt>
                <c:pt idx="2">
                  <c:v>122153139.69083899</c:v>
                </c:pt>
                <c:pt idx="3">
                  <c:v>6711000</c:v>
                </c:pt>
                <c:pt idx="4">
                  <c:v>1495000</c:v>
                </c:pt>
                <c:pt idx="5">
                  <c:v>8815000</c:v>
                </c:pt>
                <c:pt idx="6">
                  <c:v>29460000</c:v>
                </c:pt>
                <c:pt idx="7">
                  <c:v>8385000</c:v>
                </c:pt>
                <c:pt idx="8">
                  <c:v>15543000</c:v>
                </c:pt>
                <c:pt idx="9">
                  <c:v>21805000</c:v>
                </c:pt>
              </c:numCache>
            </c:numRef>
          </c:val>
          <c:smooth val="0"/>
          <c:extLst>
            <c:ext xmlns:c16="http://schemas.microsoft.com/office/drawing/2014/chart" uri="{C3380CC4-5D6E-409C-BE32-E72D297353CC}">
              <c16:uniqueId val="{00000006-68C5-46DB-AF46-1E399D84CBFD}"/>
            </c:ext>
          </c:extLst>
        </c:ser>
        <c:dLbls>
          <c:showLegendKey val="0"/>
          <c:showVal val="0"/>
          <c:showCatName val="0"/>
          <c:showSerName val="0"/>
          <c:showPercent val="0"/>
          <c:showBubbleSize val="0"/>
        </c:dLbls>
        <c:marker val="1"/>
        <c:smooth val="0"/>
        <c:axId val="1496199535"/>
        <c:axId val="1156651023"/>
      </c:lineChart>
      <c:catAx>
        <c:axId val="14961995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156651023"/>
        <c:crosses val="autoZero"/>
        <c:auto val="1"/>
        <c:lblAlgn val="ctr"/>
        <c:lblOffset val="100"/>
        <c:noMultiLvlLbl val="0"/>
      </c:catAx>
      <c:valAx>
        <c:axId val="11566510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496199535"/>
        <c:crosses val="autoZero"/>
        <c:crossBetween val="between"/>
      </c:valAx>
      <c:spPr>
        <a:solidFill>
          <a:schemeClr val="accent2">
            <a:lumMod val="20000"/>
            <a:lumOff val="80000"/>
          </a:schemeClr>
        </a:solidFill>
        <a:ln w="12700" cap="flat" cmpd="sng" algn="ctr">
          <a:solidFill>
            <a:schemeClr val="dk1"/>
          </a:solidFill>
          <a:prstDash val="solid"/>
          <a:miter lim="800000"/>
        </a:ln>
        <a:effectLst/>
      </c:spPr>
    </c:plotArea>
    <c:legend>
      <c:legendPos val="r"/>
      <c:layout>
        <c:manualLayout>
          <c:xMode val="edge"/>
          <c:yMode val="edge"/>
          <c:x val="0.58897983146843491"/>
          <c:y val="1.0890086107657597E-2"/>
          <c:w val="0.39494263101013299"/>
          <c:h val="0.14678178385596538"/>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6">
        <a:lumMod val="60000"/>
        <a:lumOff val="40000"/>
      </a:schemeClr>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0.78484</cdr:x>
      <cdr:y>0.54181</cdr:y>
    </cdr:from>
    <cdr:to>
      <cdr:x>0.88248</cdr:x>
      <cdr:y>0.64214</cdr:y>
    </cdr:to>
    <cdr:sp macro="" textlink="">
      <cdr:nvSpPr>
        <cdr:cNvPr id="2" name="TextBox 1">
          <a:extLst xmlns:a="http://schemas.openxmlformats.org/drawingml/2006/main">
            <a:ext uri="{FF2B5EF4-FFF2-40B4-BE49-F238E27FC236}">
              <a16:creationId xmlns:a16="http://schemas.microsoft.com/office/drawing/2014/main" id="{64077937-EFFC-B7FC-9F38-9961BDC327E5}"/>
            </a:ext>
          </a:extLst>
        </cdr:cNvPr>
        <cdr:cNvSpPr txBox="1"/>
      </cdr:nvSpPr>
      <cdr:spPr>
        <a:xfrm xmlns:a="http://schemas.openxmlformats.org/drawingml/2006/main">
          <a:off x="3803600" y="1176649"/>
          <a:ext cx="473195" cy="217886"/>
        </a:xfrm>
        <a:prstGeom xmlns:a="http://schemas.openxmlformats.org/drawingml/2006/main" prst="rect">
          <a:avLst/>
        </a:prstGeom>
        <a:solidFill xmlns:a="http://schemas.openxmlformats.org/drawingml/2006/main">
          <a:schemeClr val="accent1"/>
        </a:solidFill>
      </cdr:spPr>
      <cdr:txBody>
        <a:bodyPr xmlns:a="http://schemas.openxmlformats.org/drawingml/2006/main" vertOverflow="clip" wrap="none" rtlCol="0"/>
        <a:lstStyle xmlns:a="http://schemas.openxmlformats.org/drawingml/2006/main"/>
        <a:p xmlns:a="http://schemas.openxmlformats.org/drawingml/2006/main">
          <a:r>
            <a:rPr lang="en-US" sz="1100" b="1" kern="1200">
              <a:solidFill>
                <a:schemeClr val="tx1"/>
              </a:solidFill>
            </a:rPr>
            <a:t>R = 0.9</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985</Words>
  <Characters>5620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Revati Katkar</cp:lastModifiedBy>
  <cp:revision>5</cp:revision>
  <dcterms:created xsi:type="dcterms:W3CDTF">2026-09-03T10:21:00Z</dcterms:created>
  <dcterms:modified xsi:type="dcterms:W3CDTF">2026-09-03T13:40:00Z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5cc8a4ae-8c44-4c3d-b3c5-277e5c29d20c</vt:lpwstr>
  </property>
</Properties>
</file>