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34"/>
          <w:szCs w:val="34"/>
        </w:rPr>
        <w:t xml:space="preserve">Добытый факт: Г16 (drift-rate law) не подтверждён данными</w:t>
      </w:r>
    </w:p>
    <w:p>
      <w:pPr>
        <w:pBdr>
          <w:bottom w:val="single" w:color="999999" w:sz="12" w:space="6"/>
        </w:pBd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Andrey Lazarev · проверка на существующих траекториях, без новых прогонов</w:t>
      </w:r>
    </w:p>
    <w:p>
      <w:pPr>
        <w:spacing w:after="120" w:line="264"/>
      </w:pPr>
      <w:r>
        <w:rPr>
          <w:rFonts w:ascii="Calibri" w:cs="Calibri" w:eastAsia="Calibri" w:hAnsi="Calibri"/>
          <w:sz w:val="20"/>
          <w:szCs w:val="20"/>
        </w:rPr>
        <w:t xml:space="preserve">Данные: </w:t>
      </w:r>
      <w:r>
        <w:rPr>
          <w:rFonts w:ascii="Consolas" w:cs="Consolas" w:eastAsia="Consolas" w:hAnsi="Consolas"/>
          <w:color w:val="5A2CA0"/>
          <w:sz w:val="19"/>
          <w:szCs w:val="19"/>
        </w:rPr>
        <w:t xml:space="preserve">prescribed-axes-drift/results/all_results.json</w:t>
      </w:r>
      <w:r>
        <w:rPr>
          <w:rFonts w:ascii="Calibri" w:cs="Calibri" w:eastAsia="Calibri" w:hAnsi="Calibri"/>
          <w:sz w:val="20"/>
          <w:szCs w:val="20"/>
        </w:rPr>
        <w:t xml:space="preserve"> (synthetic=false, реальная pymunk-физика, 3 сида, 30 эпох, полные per-epoch траектории дрейфа).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Разметка: </w:t>
      </w:r>
      <w:r>
        <w:rPr>
          <w:rFonts w:ascii="Calibri" w:cs="Calibri" w:eastAsia="Calibri" w:hAnsi="Calibri"/>
          <w:b/>
          <w:bCs/>
          <w:color w:val="1F7A1F"/>
          <w:sz w:val="20"/>
          <w:szCs w:val="20"/>
        </w:rPr>
        <w:t xml:space="preserve">[FACT]</w:t>
      </w:r>
      <w:r>
        <w:rPr>
          <w:rFonts w:ascii="Calibri" w:cs="Calibri" w:eastAsia="Calibri" w:hAnsi="Calibri"/>
          <w:sz w:val="20"/>
          <w:szCs w:val="20"/>
        </w:rPr>
        <w:t xml:space="preserve"> — из данных; </w:t>
      </w:r>
      <w:r>
        <w:rPr>
          <w:rFonts w:ascii="Calibri" w:cs="Calibri" w:eastAsia="Calibri" w:hAnsi="Calibri"/>
          <w:b/>
          <w:bCs/>
          <w:color w:val="1F5FAA"/>
          <w:sz w:val="20"/>
          <w:szCs w:val="20"/>
        </w:rPr>
        <w:t xml:space="preserve">[INFERENCE]</w:t>
      </w:r>
      <w:r>
        <w:rPr>
          <w:rFonts w:ascii="Calibri" w:cs="Calibri" w:eastAsia="Calibri" w:hAnsi="Calibri"/>
          <w:sz w:val="20"/>
          <w:szCs w:val="20"/>
        </w:rPr>
        <w:t xml:space="preserve"> — вывод.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Что проверяли</w:t>
      </w:r>
    </w:p>
    <w:p>
      <w:pPr>
        <w:spacing w:after="120" w:line="264"/>
      </w:pPr>
      <w:r>
        <w:rPr>
          <w:rFonts w:ascii="Calibri" w:cs="Calibri" w:eastAsia="Calibri" w:hAnsi="Calibri"/>
          <w:sz w:val="20"/>
          <w:szCs w:val="20"/>
        </w:rPr>
        <w:t xml:space="preserve">Г16 предсказывал (импорт из INS/GNSS dead-reckoning): дрейф = drift-rate × время — линейное накопление с постоянной скоростью, ведущее к формуле «drift-rate × t → порог галлюцинации».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Результат</w:t>
      </w:r>
    </w:p>
    <w:p>
      <w:pPr>
        <w:spacing w:after="120" w:line="264"/>
        <w:ind w:left="360"/>
      </w:pPr>
      <w:r>
        <w:rPr>
          <w:rFonts w:ascii="Calibri" w:cs="Calibri" w:eastAsia="Calibri" w:hAnsi="Calibri"/>
          <w:b/>
          <w:bCs/>
          <w:color w:val="1F7A1F"/>
          <w:sz w:val="20"/>
          <w:szCs w:val="20"/>
        </w:rPr>
        <w:t xml:space="preserve">[FACT] </w:t>
      </w:r>
      <w:r>
        <w:rPr>
          <w:rFonts w:ascii="Calibri" w:cs="Calibri" w:eastAsia="Calibri" w:hAnsi="Calibri"/>
          <w:sz w:val="20"/>
          <w:szCs w:val="20"/>
        </w:rPr>
        <w:t xml:space="preserve">free raw_drift падает с 1.43 (эпоха 1) до 0.001 (эпоха 30). Отношение поздний/ранний = 0.002 — дрейф выгорает за ~3 эпохи.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</w:tblGrid>
      <w:tr>
        <w:tc>
          <w:tcPr>
            <w:tcW w:type="dxa" w:w="3800"/>
            <w:shd w:fill="1F5FA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Закон (кумулятивный дрейф)</w:t>
            </w:r>
          </w:p>
        </w:tc>
        <w:tc>
          <w:tcPr>
            <w:tcW w:type="dxa" w:w="2400"/>
            <w:shd w:fill="1F5FA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R² фита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linear (постоянный rate)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0.821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sqrt (диффузия)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0.920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log (насыщение) ← лучший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0.977</w:t>
            </w:r>
          </w:p>
        </w:tc>
      </w:tr>
    </w:tbl>
    <w:p>
      <w:pPr>
        <w:spacing w:after="120"/>
      </w:pPr>
    </w:p>
    <w:p>
      <w:pPr>
        <w:spacing w:after="120" w:line="264"/>
        <w:ind w:left="360"/>
      </w:pPr>
      <w:r>
        <w:rPr>
          <w:rFonts w:ascii="Calibri" w:cs="Calibri" w:eastAsia="Calibri" w:hAnsi="Calibri"/>
          <w:b/>
          <w:bCs/>
          <w:color w:val="1F7A1F"/>
          <w:sz w:val="20"/>
          <w:szCs w:val="20"/>
        </w:rPr>
        <w:t xml:space="preserve">[FACT] </w:t>
      </w:r>
      <w:r>
        <w:rPr>
          <w:rFonts w:ascii="Calibri" w:cs="Calibri" w:eastAsia="Calibri" w:hAnsi="Calibri"/>
          <w:sz w:val="20"/>
          <w:szCs w:val="20"/>
        </w:rPr>
        <w:t xml:space="preserve">Постоянного rate нет. Дрейф — затухающий front-loaded transient, не накопление.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Вывод</w:t>
      </w:r>
    </w:p>
    <w:p>
      <w:pPr>
        <w:spacing w:after="120" w:line="264"/>
        <w:ind w:left="360"/>
      </w:pPr>
      <w:r>
        <w:rPr>
          <w:rFonts w:ascii="Calibri" w:cs="Calibri" w:eastAsia="Calibri" w:hAnsi="Calibri"/>
          <w:b/>
          <w:bCs/>
          <w:color w:val="1F5FAA"/>
          <w:sz w:val="20"/>
          <w:szCs w:val="20"/>
        </w:rPr>
        <w:t xml:space="preserve">[INFERENCE] </w:t>
      </w:r>
      <w:r>
        <w:rPr>
          <w:rFonts w:ascii="Calibri" w:cs="Calibri" w:eastAsia="Calibri" w:hAnsi="Calibri"/>
          <w:sz w:val="20"/>
          <w:szCs w:val="20"/>
        </w:rPr>
        <w:t xml:space="preserve">Г16 в rate-форме опровергнут этими данными. Аналогия dead-reckoning ложна: у INS ошибка растёт неограниченно во времени, у энкодера дрейф самозатухает. «drift-rate × t → порог» строить не на чем.</w:t>
      </w:r>
    </w:p>
    <w:p>
      <w:pPr>
        <w:spacing w:after="120" w:line="264"/>
        <w:ind w:left="360"/>
      </w:pPr>
      <w:r>
        <w:rPr>
          <w:rFonts w:ascii="Calibri" w:cs="Calibri" w:eastAsia="Calibri" w:hAnsi="Calibri"/>
          <w:b/>
          <w:bCs/>
          <w:color w:val="1F5FAA"/>
          <w:sz w:val="20"/>
          <w:szCs w:val="20"/>
        </w:rPr>
        <w:t xml:space="preserve">[INFERENCE] </w:t>
      </w:r>
      <w:r>
        <w:rPr>
          <w:rFonts w:ascii="Calibri" w:cs="Calibri" w:eastAsia="Calibri" w:hAnsi="Calibri"/>
          <w:sz w:val="20"/>
          <w:szCs w:val="20"/>
        </w:rPr>
        <w:t xml:space="preserve">Данные подтверждают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Ф24/Ф25 (двухфазная модель)</w:t>
      </w:r>
      <w:r>
        <w:rPr>
          <w:rFonts w:ascii="Calibri" w:cs="Calibri" w:eastAsia="Calibri" w:hAnsi="Calibri"/>
          <w:sz w:val="20"/>
          <w:szCs w:val="20"/>
        </w:rPr>
        <w:t xml:space="preserve">, не Г16. Всплеск = фаза 1, затухший хвост = фаза 2. Расхождение двух документов разрешено в пользу двухфазной модели.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Оговорки (не переврать)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0"/>
          <w:szCs w:val="20"/>
        </w:rPr>
        <w:t xml:space="preserve">«log R²=0.977» не значит «найден логарифмический закон». Артефакт front-loading: почти весь дрейф в первых точках, любая насыщающая функция подойдёт. Честно: «rate нет, дрейф выгорает».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0"/>
          <w:szCs w:val="20"/>
        </w:rPr>
        <w:t xml:space="preserve">prescribed raw_drift = 0.0 (энкодер заморожен) → linear R²=1.0 вырожден, не результат. Контраст 2.66 vs 0.0 тривиален: заморозка = ноль по определению.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Импликация для галлюцинационной ветки</w:t>
      </w:r>
    </w:p>
    <w:p>
      <w:pPr>
        <w:spacing w:after="120" w:line="264"/>
        <w:ind w:left="360"/>
      </w:pPr>
      <w:r>
        <w:rPr>
          <w:rFonts w:ascii="Calibri" w:cs="Calibri" w:eastAsia="Calibri" w:hAnsi="Calibri"/>
          <w:b/>
          <w:bCs/>
          <w:color w:val="1F5FAA"/>
          <w:sz w:val="20"/>
          <w:szCs w:val="20"/>
        </w:rPr>
        <w:t xml:space="preserve">[INFERENCE] </w:t>
      </w:r>
      <w:r>
        <w:rPr>
          <w:rFonts w:ascii="Calibri" w:cs="Calibri" w:eastAsia="Calibri" w:hAnsi="Calibri"/>
          <w:sz w:val="20"/>
          <w:szCs w:val="20"/>
        </w:rPr>
        <w:t xml:space="preserve">Картина «дрейф накапливается → пересекает порог» несостоятельна: копиться нечему. Ущерб ранний и необратимый (Ф24), не постепенное сползание.</w:t>
      </w:r>
    </w:p>
    <w:p>
      <w:pPr>
        <w:spacing w:after="120" w:line="264"/>
        <w:ind w:left="360"/>
      </w:pPr>
      <w:r>
        <w:rPr>
          <w:rFonts w:ascii="Calibri" w:cs="Calibri" w:eastAsia="Calibri" w:hAnsi="Calibri"/>
          <w:b/>
          <w:bCs/>
          <w:color w:val="1F5FAA"/>
          <w:sz w:val="20"/>
          <w:szCs w:val="20"/>
        </w:rPr>
        <w:t xml:space="preserve">[INFERENCE] </w:t>
      </w:r>
      <w:r>
        <w:rPr>
          <w:rFonts w:ascii="Calibri" w:cs="Calibri" w:eastAsia="Calibri" w:hAnsi="Calibri"/>
          <w:sz w:val="20"/>
          <w:szCs w:val="20"/>
        </w:rPr>
        <w:t xml:space="preserve">Будущий мост искать в «раннее необратимое повреждение представления», не в «медленный дрейф к порогу». Это структурно ближе к тому, как галлюцинация закладывается на этапе данных/обучения, чем к её проявлению на инференсе. Форма гипотезы изменилась из-за факта, а не из-за желания.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2026-07-02T22:16:25.036Z</dcterms:created>
  <dcterms:modified xsi:type="dcterms:W3CDTF">2026-07-02T22:16:25.052Z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