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120"/>
        <w:jc w:val="center"/>
      </w:pPr>
      <w:r>
        <w:rPr>
          <w:rFonts w:ascii="Arial" w:cs="Arial" w:eastAsia="Arial" w:hAnsi="Arial"/>
          <w:b/>
          <w:bCs/>
          <w:sz w:val="48"/>
          <w:szCs w:val="48"/>
        </w:rPr>
        <w:t xml:space="preserve">Shov-JEPA</w:t>
      </w:r>
    </w:p>
    <w:p>
      <w:pPr>
        <w:spacing w:after="80"/>
        <w:jc w:val="center"/>
      </w:pPr>
      <w:r>
        <w:rPr>
          <w:rFonts w:ascii="Arial" w:cs="Arial" w:eastAsia="Arial" w:hAnsi="Arial"/>
          <w:color w:val="555555"/>
          <w:sz w:val="28"/>
          <w:szCs w:val="28"/>
        </w:rPr>
        <w:t xml:space="preserve">Detecting Seamlessness in Visual Environments</w:t>
      </w:r>
    </w:p>
    <w:p>
      <w:pPr>
        <w:spacing w:after="80"/>
        <w:jc w:val="center"/>
      </w:pPr>
      <w:r>
        <w:rPr>
          <w:rFonts w:ascii="Arial" w:cs="Arial" w:eastAsia="Arial" w:hAnsi="Arial"/>
          <w:color w:val="777777"/>
          <w:sz w:val="22"/>
          <w:szCs w:val="22"/>
        </w:rPr>
        <w:t xml:space="preserve">Using Prescribed Representation Axes from the Shov Framework</w:t>
      </w:r>
    </w:p>
    <w:p>
      <w:pPr>
        <w:spacing w:after="400"/>
        <w:jc w:val="center"/>
      </w:pPr>
      <w:r>
        <w:rPr>
          <w:rFonts w:ascii="Arial" w:cs="Arial" w:eastAsia="Arial" w:hAnsi="Arial"/>
          <w:color w:val="999999"/>
          <w:sz w:val="20"/>
          <w:szCs w:val="20"/>
        </w:rPr>
        <w:t xml:space="preserve">Internal Document — April 2026</w:t>
      </w:r>
    </w:p>
    <w:p>
      <w:pPr>
        <w:pStyle w:val="Heading1"/>
      </w:pPr>
      <w:r>
        <w:t xml:space="preserve">Summary</w:t>
      </w:r>
    </w:p>
    <w:p>
      <w:pPr>
        <w:spacing w:after="200"/>
      </w:pPr>
      <w:r>
        <w:rPr>
          <w:sz w:val="22"/>
          <w:szCs w:val="22"/>
        </w:rPr>
        <w:t xml:space="preserve">We present Shov-JEPA, a modified Joint-Embedding Predictive Architecture where the representation space is defined by three axes derived from the Shov (Seam) philosophical framework: Pause (P), Friction (F), and Depth (D). These axes describe structural properties of environments that affect human agency. Through five experiments on UI screenshots from the Rico dataset, we demonstrate that: (1) structural features outperform pixel-level analysis for detecting seamlessness, (2) prescribed Shov axes outperform free representation space by 5 percentage points (72.5% vs 67.5%), and (3) the model learns to predict structural properties of masked screen regions from spatial context. This work provides the first experimental evidence that the Shov framework captures something real and measurable in designed environments.</w:t>
      </w:r>
    </w:p>
    <w:p>
      <w:pPr>
        <w:pStyle w:val="Heading1"/>
      </w:pPr>
      <w:r>
        <w:t xml:space="preserve">Motivation</w:t>
      </w:r>
    </w:p>
    <w:p>
      <w:pPr>
        <w:spacing w:after="120"/>
      </w:pPr>
      <w:r>
        <w:rPr>
          <w:sz w:val="22"/>
          <w:szCs w:val="22"/>
        </w:rPr>
        <w:t xml:space="preserve">LeCun's I-JEPA (2023) lets the model discover its own representation space empirically. The model decides what features matter. This is powerful for general vision tasks, but we hypothesize that for environments designed for humans, we already know what matters: pauses, exits, and recovery. The Shov framework provides these axes not as learned features but as axioms.</w:t>
      </w:r>
    </w:p>
    <w:p>
      <w:pPr>
        <w:spacing w:after="200"/>
      </w:pPr>
      <w:r>
        <w:rPr>
          <w:sz w:val="22"/>
          <w:szCs w:val="22"/>
        </w:rPr>
        <w:t xml:space="preserve">This is the difference between Euclidean and non-Euclidean geometry applied to machine learning: same tools, different axioms, potentially different (and complementary) results. LeCun's axiom: the agent should not see its own foundation (closed). Our axiom: the builder can see the foundation (open).</w:t>
      </w:r>
    </w:p>
    <w:p>
      <w:pPr>
        <w:pStyle w:val="Heading1"/>
      </w:pPr>
      <w:r>
        <w:t xml:space="preserve">The Shov Axes</w:t>
      </w:r>
    </w:p>
    <w:p>
      <w:pPr>
        <w:spacing w:after="120"/>
      </w:pPr>
      <w:r>
        <w:rPr>
          <w:sz w:val="22"/>
          <w:szCs w:val="22"/>
        </w:rPr>
        <w:t xml:space="preserve">Three axes describe the seamlessness of any environment:</w:t>
      </w:r>
    </w:p>
    <w:p>
      <w:pPr>
        <w:spacing w:after="80"/>
      </w:pPr>
      <w:r>
        <w:rPr>
          <w:b/>
          <w:bCs/>
          <w:sz w:val="22"/>
          <w:szCs w:val="22"/>
        </w:rPr>
        <w:t xml:space="preserve">P (Pause): </w:t>
      </w:r>
      <w:r>
        <w:rPr>
          <w:sz w:val="22"/>
          <w:szCs w:val="22"/>
        </w:rPr>
        <w:t xml:space="preserve">Does the environment offer moments to stop and see where you are? Toolbar, back button, clear navigation = high P. Infinite scroll with no landmarks = low P.</w:t>
      </w:r>
    </w:p>
    <w:p>
      <w:pPr>
        <w:spacing w:after="80"/>
      </w:pPr>
      <w:r>
        <w:rPr>
          <w:b/>
          <w:bCs/>
          <w:sz w:val="22"/>
          <w:szCs w:val="22"/>
        </w:rPr>
        <w:t xml:space="preserve">F (Friction of exit): </w:t>
      </w:r>
      <w:r>
        <w:rPr>
          <w:sz w:val="22"/>
          <w:szCs w:val="22"/>
        </w:rPr>
        <w:t xml:space="preserve">What do you lose if you leave? Autoplay that resets, social feed that moves on without you = high F. Settings screen you can return to anytime = low F.</w:t>
      </w:r>
    </w:p>
    <w:p>
      <w:pPr>
        <w:spacing w:after="200"/>
      </w:pPr>
      <w:r>
        <w:rPr>
          <w:b/>
          <w:bCs/>
          <w:sz w:val="22"/>
          <w:szCs w:val="22"/>
        </w:rPr>
        <w:t xml:space="preserve">D (Depth of pull): </w:t>
      </w:r>
      <w:r>
        <w:rPr>
          <w:sz w:val="22"/>
          <w:szCs w:val="22"/>
        </w:rPr>
        <w:t xml:space="preserve">How strongly does the environment pull you back? Recommendation engines, notification loops = high D. Static content page = low D.</w:t>
      </w:r>
    </w:p>
    <w:p>
      <w:pPr>
        <w:pStyle w:val="Heading1"/>
      </w:pPr>
      <w:r>
        <w:t xml:space="preserve">Experiments</w:t>
      </w:r>
    </w:p>
    <w:p>
      <w:pPr>
        <w:spacing w:after="120"/>
      </w:pPr>
      <w:r>
        <w:rPr>
          <w:sz w:val="22"/>
          <w:szCs w:val="22"/>
        </w:rPr>
        <w:t xml:space="preserve">All experiments use the Rico dataset (66K+ UI screenshots with view hierarchies) filtered into two categories: Funnel (воронка, target P=0, F=1, D=1) and Doors (дом с дверями, target P=1, F=0, D=0). 200 samples per class, 80/20 train/val split, classification by activity name heuristics.</w:t>
      </w:r>
    </w:p>
    <w:p>
      <w:pPr>
        <w:pStyle w:val="Heading2"/>
      </w:pPr>
      <w:r>
        <w:t xml:space="preserve">Results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1200"/>
        <w:gridCol w:w="1800"/>
        <w:gridCol w:w="25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Model</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 Acc</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Input</w:t>
            </w:r>
          </w:p>
        </w:tc>
        <w:tc>
          <w:tcPr>
            <w:tcW w:type="dxa" w:w="2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Finding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Shov-JEPA (ViT-tiny)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68.8%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224×224 pixels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Signal exists, same as ResNet-18 baseline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Shov-MLP (VH flat)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72.5%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 features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Structure &gt; pixels (+3.7%)</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Shov-JEPA (VH grid)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73.8%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16×8 grid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Spatial prediction works, JEPA loss -73%</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v5a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Shov-JEPA (prescribed 3D)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72.5%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16×8 grid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Prescribed axes: P/F/D separation 0.35</w:t>
            </w:r>
          </w:p>
        </w:tc>
      </w:tr>
      <w:tr>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sz w:val="20"/>
                <w:szCs w:val="20"/>
              </w:rPr>
              <w:t xml:space="preserve">v5b</w:t>
            </w:r>
          </w:p>
        </w:tc>
        <w:tc>
          <w:tcPr>
            <w:tcW w:type="dxa" w:w="2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sz w:val="20"/>
                <w:szCs w:val="20"/>
              </w:rPr>
              <w:t xml:space="preserve">Plain JEPA (free 64D) + probe</w:t>
            </w:r>
          </w:p>
        </w:tc>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sz w:val="20"/>
                <w:szCs w:val="20"/>
              </w:rPr>
              <w:t xml:space="preserve">67.5%</w:t>
            </w:r>
          </w:p>
        </w:tc>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sz w:val="20"/>
                <w:szCs w:val="20"/>
              </w:rPr>
              <w:t xml:space="preserve">16×8 grid</w:t>
            </w:r>
          </w:p>
        </w:tc>
        <w:tc>
          <w:tcPr>
            <w:tcW w:type="dxa" w:w="25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sz w:val="20"/>
                <w:szCs w:val="20"/>
              </w:rPr>
              <w:t xml:space="preserve">Free space underperforms by 5%</w:t>
            </w:r>
          </w:p>
        </w:tc>
      </w:tr>
    </w:tbl>
    <w:p>
      <w:pPr>
        <w:spacing w:after="200" w:before="200"/>
      </w:pPr>
    </w:p>
    <w:p>
      <w:pPr>
        <w:pStyle w:val="Heading1"/>
      </w:pPr>
      <w:r>
        <w:t xml:space="preserve">Key Findings</w:t>
      </w:r>
    </w:p>
    <w:p>
      <w:pPr>
        <w:pStyle w:val="Heading2"/>
      </w:pPr>
      <w:r>
        <w:t xml:space="preserve">1. Structure outperforms pixels</w:t>
      </w:r>
    </w:p>
    <w:p>
      <w:pPr>
        <w:spacing w:after="160"/>
      </w:pPr>
      <w:r>
        <w:rPr>
          <w:sz w:val="22"/>
          <w:szCs w:val="22"/>
        </w:rPr>
        <w:t xml:space="preserve">12 numerical features from the UI view hierarchy (total nodes, clickable count, scroll type, back button presence, toolbar, navigation, adapter views, text inputs, buttons, unique classes) give 72.5% accuracy vs 68.8% from a full 224×224 pixel image processed by ViT or ResNet-18. Seamlessness is a structural property, not a visual one.</w:t>
      </w:r>
    </w:p>
    <w:p>
      <w:pPr>
        <w:pStyle w:val="Heading2"/>
      </w:pPr>
      <w:r>
        <w:t xml:space="preserve">2. Prescribed axes beat free representation</w:t>
      </w:r>
    </w:p>
    <w:p>
      <w:pPr>
        <w:spacing w:after="160"/>
      </w:pPr>
      <w:r>
        <w:rPr>
          <w:sz w:val="22"/>
          <w:szCs w:val="22"/>
        </w:rPr>
        <w:t xml:space="preserve">On the same architecture, same data, same masking: Shov-JEPA with 3D prescribed space (P, F, D) achieves 72.5% vs Plain JEPA with 64D free space at 67.5%. The free model learns excellent self-supervised representations (JEPA loss drops 85%), but those representations are less useful for classifying seamlessness. When we know the domain, prescribed axes provide an advantage.</w:t>
      </w:r>
    </w:p>
    <w:p>
      <w:pPr>
        <w:pStyle w:val="Heading2"/>
      </w:pPr>
      <w:r>
        <w:t xml:space="preserve">3. Spatial prediction works</w:t>
      </w:r>
    </w:p>
    <w:p>
      <w:pPr>
        <w:spacing w:after="160"/>
      </w:pPr>
      <w:r>
        <w:rPr>
          <w:sz w:val="22"/>
          <w:szCs w:val="22"/>
        </w:rPr>
        <w:t xml:space="preserve">The JEPA component learns to predict structural properties of masked screen regions from context. JEPA loss drops 73–85% during training. This means: seeing a toolbar at the top, the model predicts buttons at the bottom (doors). Seeing a list at the top, it predicts more list below (funnel). The spatial coherence of UI environments is captured by the architecture.</w:t>
      </w:r>
    </w:p>
    <w:p>
      <w:pPr>
        <w:pStyle w:val="Heading2"/>
      </w:pPr>
      <w:r>
        <w:t xml:space="preserve">4. Feature importance reveals Shov structure</w:t>
      </w:r>
    </w:p>
    <w:p>
      <w:pPr>
        <w:spacing w:after="200"/>
      </w:pPr>
      <w:r>
        <w:rPr>
          <w:sz w:val="22"/>
          <w:szCs w:val="22"/>
        </w:rPr>
        <w:t xml:space="preserve">The most important features for classification are: unique_classes (diversity of UI elements), has_toolbar, has_nav, has_back. These directly correspond to the P axis: the presence of navigational structure = pauses = doors. Funnels are characterized by homogeneity (same element type repeated) and absence of navigation landmarks.</w:t>
      </w:r>
    </w:p>
    <w:p>
      <w:pPr>
        <w:pStyle w:val="Heading1"/>
      </w:pPr>
      <w:r>
        <w:t xml:space="preserve">Learned Shov Coordinates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 (Pause)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 (Friction)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 (Depth)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Funnel (target)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1.00</w:t>
            </w:r>
          </w:p>
        </w:tc>
      </w:tr>
      <w:tr>
        <w:tc>
          <w:tcPr>
            <w:tcW w:type="dxa" w:w="234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Funnel (learned)</w:t>
            </w:r>
          </w:p>
        </w:tc>
        <w:tc>
          <w:tcPr>
            <w:tcW w:type="dxa" w:w="234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0.37</w:t>
            </w:r>
          </w:p>
        </w:tc>
        <w:tc>
          <w:tcPr>
            <w:tcW w:type="dxa" w:w="234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0.64</w:t>
            </w:r>
          </w:p>
        </w:tc>
        <w:tc>
          <w:tcPr>
            <w:tcW w:type="dxa" w:w="234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0.64</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Doors (target)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0.00</w:t>
            </w:r>
          </w:p>
        </w:tc>
      </w:tr>
      <w:tr>
        <w:tc>
          <w:tcPr>
            <w:tcW w:type="dxa" w:w="234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sz w:val="20"/>
                <w:szCs w:val="20"/>
              </w:rPr>
              <w:t xml:space="preserve">Doors (learned)</w:t>
            </w:r>
          </w:p>
        </w:tc>
        <w:tc>
          <w:tcPr>
            <w:tcW w:type="dxa" w:w="234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sz w:val="20"/>
                <w:szCs w:val="20"/>
              </w:rPr>
              <w:t xml:space="preserve">0.72</w:t>
            </w:r>
          </w:p>
        </w:tc>
        <w:tc>
          <w:tcPr>
            <w:tcW w:type="dxa" w:w="234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sz w:val="20"/>
                <w:szCs w:val="20"/>
              </w:rPr>
              <w:t xml:space="preserve">0.29</w:t>
            </w:r>
          </w:p>
        </w:tc>
        <w:tc>
          <w:tcPr>
            <w:tcW w:type="dxa" w:w="234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sz w:val="20"/>
                <w:szCs w:val="20"/>
              </w:rPr>
              <w:t xml:space="preserve">0.28</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Delta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0.35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0.35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0.36</w:t>
            </w:r>
          </w:p>
        </w:tc>
      </w:tr>
    </w:tbl>
    <w:p>
      <w:pPr>
        <w:spacing w:after="200" w:before="120"/>
      </w:pPr>
      <w:r>
        <w:rPr>
          <w:color w:val="666666"/>
          <w:sz w:val="20"/>
          <w:szCs w:val="20"/>
        </w:rPr>
        <w:t xml:space="preserve">The model moves toward target coordinates but does not reach extremes (0.0/1.0), settling around 0.3–0.7 range. The three axes show nearly identical deltas (~0.35), confirming that in the binary case they are correlated. Independent axis behavior is expected to emerge with the addition of a third class (doorless).</w:t>
      </w:r>
    </w:p>
    <w:p>
      <w:pPr>
        <w:pStyle w:val="Heading1"/>
      </w:pPr>
      <w:r>
        <w:t xml:space="preserve">Comparison with LeCun's I-JEPA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
            </w:r>
          </w:p>
        </w:tc>
        <w:tc>
          <w:tcPr>
            <w:tcW w:type="dxa" w:w="32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I-JEPA (LeCun)</w:t>
            </w:r>
          </w:p>
        </w:tc>
        <w:tc>
          <w:tcPr>
            <w:tcW w:type="dxa" w:w="32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Shov-JEPA (ours)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Representation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Free, learned (high-dim)</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Prescribed, 3D (P, F, 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Axiom</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 discovers what matters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 know what matters for this domain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Masking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Image patches (pixels)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Spatial grid cells (structure)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Scale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632M params, 16 A100, 72h</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&lt;100K params, 1 T4, 5 min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Task</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General vision (ImageNet)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Domain-specific (UI seamlessness)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Result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73.3% (1% ImageNet labels)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72.5–73.8% (Rico binary)</w:t>
            </w:r>
          </w:p>
        </w:tc>
      </w:tr>
    </w:tbl>
    <w:p>
      <w:pPr>
        <w:spacing w:after="200" w:before="120"/>
      </w:pPr>
      <w:r>
        <w:rPr>
          <w:color w:val="666666"/>
          <w:sz w:val="20"/>
          <w:szCs w:val="20"/>
        </w:rPr>
        <w:t xml:space="preserve">Direct numerical comparison is not meaningful (different tasks, data, scale). The conceptual contribution is demonstrating that prescribed axes derived from domain knowledge can match or exceed free representation learning when the domain is well-understood, at a fraction of computational cost.</w:t>
      </w:r>
    </w:p>
    <w:p>
      <w:pPr>
        <w:pStyle w:val="Heading1"/>
      </w:pPr>
      <w:r>
        <w:t xml:space="preserve">Limitations</w:t>
      </w:r>
    </w:p>
    <w:p>
      <w:pPr>
        <w:pStyle w:val="ListParagraph"/>
        <w:numPr>
          <w:ilvl w:val="0"/>
          <w:numId w:val="2"/>
        </w:numPr>
        <w:spacing w:after="80"/>
      </w:pPr>
      <w:r>
        <w:rPr>
          <w:sz w:val="22"/>
          <w:szCs w:val="22"/>
        </w:rPr>
        <w:t xml:space="preserve">Small dataset: 400 samples total. Results may not generalize to larger or more diverse UI datasets.</w:t>
      </w:r>
    </w:p>
    <w:p>
      <w:pPr>
        <w:pStyle w:val="ListParagraph"/>
        <w:numPr>
          <w:ilvl w:val="0"/>
          <w:numId w:val="2"/>
        </w:numPr>
        <w:spacing w:after="80"/>
      </w:pPr>
      <w:r>
        <w:rPr>
          <w:sz w:val="22"/>
          <w:szCs w:val="22"/>
        </w:rPr>
        <w:t xml:space="preserve">Heuristic labels: classification by activity_name is a proxy, not ground truth. Human-verified labels would strengthen results.</w:t>
      </w:r>
    </w:p>
    <w:p>
      <w:pPr>
        <w:pStyle w:val="ListParagraph"/>
        <w:numPr>
          <w:ilvl w:val="0"/>
          <w:numId w:val="2"/>
        </w:numPr>
        <w:spacing w:after="80"/>
      </w:pPr>
      <w:r>
        <w:rPr>
          <w:sz w:val="22"/>
          <w:szCs w:val="22"/>
        </w:rPr>
        <w:t xml:space="preserve">Binary only: doorless (intermediate category) not tested. The three Shov axes are correlated in the binary case.</w:t>
      </w:r>
    </w:p>
    <w:p>
      <w:pPr>
        <w:pStyle w:val="ListParagraph"/>
        <w:numPr>
          <w:ilvl w:val="0"/>
          <w:numId w:val="2"/>
        </w:numPr>
        <w:spacing w:after="80"/>
      </w:pPr>
      <w:r>
        <w:rPr>
          <w:sz w:val="22"/>
          <w:szCs w:val="22"/>
        </w:rPr>
        <w:t xml:space="preserve">View hierarchy depth: Rico's HuggingFace format provides flattened children, not full tree depth. Deeper structural features may improve results.</w:t>
      </w:r>
    </w:p>
    <w:p>
      <w:pPr>
        <w:pStyle w:val="ListParagraph"/>
        <w:numPr>
          <w:ilvl w:val="0"/>
          <w:numId w:val="2"/>
        </w:numPr>
        <w:spacing w:after="200"/>
      </w:pPr>
      <w:r>
        <w:rPr>
          <w:sz w:val="22"/>
          <w:szCs w:val="22"/>
        </w:rPr>
        <w:t xml:space="preserve">Single-screen analysis: seamlessness is fundamentally a flow property (sequences of screens), not a single-frame property.</w:t>
      </w:r>
    </w:p>
    <w:p>
      <w:pPr>
        <w:pStyle w:val="Heading1"/>
      </w:pPr>
      <w:r>
        <w:t xml:space="preserve">Next Steps</w:t>
      </w:r>
    </w:p>
    <w:p>
      <w:pPr>
        <w:pStyle w:val="ListParagraph"/>
        <w:numPr>
          <w:ilvl w:val="0"/>
          <w:numId w:val="3"/>
        </w:numPr>
        <w:spacing w:after="80"/>
      </w:pPr>
      <w:r>
        <w:rPr>
          <w:sz w:val="22"/>
          <w:szCs w:val="22"/>
        </w:rPr>
        <w:t xml:space="preserve">Add doorless as third class to decouple P, F, D axes and test whether they become independent.</w:t>
      </w:r>
    </w:p>
    <w:p>
      <w:pPr>
        <w:pStyle w:val="ListParagraph"/>
        <w:numPr>
          <w:ilvl w:val="0"/>
          <w:numId w:val="3"/>
        </w:numPr>
        <w:spacing w:after="80"/>
      </w:pPr>
      <w:r>
        <w:rPr>
          <w:sz w:val="22"/>
          <w:szCs w:val="22"/>
        </w:rPr>
        <w:t xml:space="preserve">Human-verified labels: manually review and relabel a subset of Rico screenshots.</w:t>
      </w:r>
    </w:p>
    <w:p>
      <w:pPr>
        <w:pStyle w:val="ListParagraph"/>
        <w:numPr>
          <w:ilvl w:val="0"/>
          <w:numId w:val="3"/>
        </w:numPr>
        <w:spacing w:after="80"/>
      </w:pPr>
      <w:r>
        <w:rPr>
          <w:sz w:val="22"/>
          <w:szCs w:val="22"/>
        </w:rPr>
        <w:t xml:space="preserve">Interaction traces: use Rico's multi-screen sequences to capture temporal seamlessness.</w:t>
      </w:r>
    </w:p>
    <w:p>
      <w:pPr>
        <w:pStyle w:val="ListParagraph"/>
        <w:numPr>
          <w:ilvl w:val="0"/>
          <w:numId w:val="3"/>
        </w:numPr>
        <w:spacing w:after="80"/>
      </w:pPr>
      <w:r>
        <w:rPr>
          <w:sz w:val="22"/>
          <w:szCs w:val="22"/>
        </w:rPr>
        <w:t xml:space="preserve">Real-world application: build a tool that analyzes installed apps via accessibility services and maps them to Shov coordinates.</w:t>
      </w:r>
    </w:p>
    <w:p>
      <w:pPr>
        <w:pStyle w:val="ListParagraph"/>
        <w:numPr>
          <w:ilvl w:val="0"/>
          <w:numId w:val="3"/>
        </w:numPr>
        <w:spacing w:after="200"/>
      </w:pPr>
      <w:r>
        <w:rPr>
          <w:sz w:val="22"/>
          <w:szCs w:val="22"/>
        </w:rPr>
        <w:t xml:space="preserve">Formal publication: expand this document into a paper with proper related work, statistical significance tests, and ablation studies.</w:t>
      </w:r>
    </w:p>
    <w:p>
      <w:pPr>
        <w:pStyle w:val="Heading1"/>
      </w:pPr>
      <w:r>
        <w:t xml:space="preserve">Theoretical Note</w:t>
      </w:r>
    </w:p>
    <w:p>
      <w:pPr>
        <w:spacing w:after="200"/>
      </w:pPr>
      <w:r>
        <w:rPr>
          <w:sz w:val="22"/>
          <w:szCs w:val="22"/>
        </w:rPr>
        <w:t xml:space="preserve">LeCun and we walk the same path with different axioms. His axiom: the agent should not see its own foundation (Intrinsic Cost is immutable, System M is hardwired). Our axiom: the builder can see the foundation (Cost Architecture is visible, modifiable through protocol). His constraints are possibly a deliberate simplification for the beginning — like ideal gas in thermodynamics. Our proposal is the next iteration, not a refutation. The Shov-JEPA experiment is a small empirical step in this direction: showing that when axioms are known, prescribing them outperforms discovering them.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333333"/>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2026-04-06T11:16:09.078Z</dcterms:created>
  <dcterms:modified xsi:type="dcterms:W3CDTF">2026-04-06T11:16:09.079Z</dcterms:modified>
</cp:coreProperties>
</file>

<file path=docProps/custom.xml><?xml version="1.0" encoding="utf-8"?>
<Properties xmlns="http://schemas.openxmlformats.org/officeDocument/2006/custom-properties" xmlns:vt="http://schemas.openxmlformats.org/officeDocument/2006/docPropsVTypes"/>
</file>