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1a1a1a"/>
          <w:sz w:val="40"/>
          <w:szCs w:val="40"/>
        </w:rPr>
        <w:t xml:space="preserve">LeWM State-Based</w:t>
      </w:r>
    </w:p>
    <w:p>
      <w:pPr>
        <w:spacing w:after="200"/>
        <w:jc w:val="center"/>
      </w:pPr>
      <w:r>
        <w:rPr>
          <w:rFonts w:ascii="Arial" w:cs="Arial" w:eastAsia="Arial" w:hAnsi="Arial"/>
          <w:i/>
          <w:iCs/>
          <w:color w:val="555555"/>
          <w:sz w:val="24"/>
          <w:szCs w:val="24"/>
        </w:rPr>
        <w:t xml:space="preserve">Prescribed Axes vs Free Embedding in World Models</w:t>
      </w:r>
    </w:p>
    <w:p>
      <w:pPr>
        <w:spacing w:after="120"/>
        <w:jc w:val="center"/>
      </w:pPr>
      <w:r>
        <w:rPr>
          <w:rFonts w:ascii="Arial" w:cs="Arial" w:eastAsia="Arial" w:hAnsi="Arial"/>
          <w:i/>
          <w:iCs/>
          <w:color w:val="555555"/>
          <w:sz w:val="22"/>
          <w:szCs w:val="22"/>
        </w:rPr>
        <w:t xml:space="preserve">Internal Document — April 2026</w:t>
      </w:r>
    </w:p>
    <w:p>
      <w:pPr>
        <w:pStyle w:val="Heading1"/>
        <w:spacing w:after="200" w:before="360"/>
      </w:pPr>
      <w:r>
        <w:rPr>
          <w:rFonts w:ascii="Arial" w:cs="Arial" w:eastAsia="Arial" w:hAnsi="Arial"/>
          <w:b/>
          <w:bCs/>
          <w:sz w:val="32"/>
          <w:szCs w:val="32"/>
        </w:rPr>
        <w:t xml:space="preserve">Summary</w:t>
      </w:r>
    </w:p>
    <w:p>
      <w:pPr>
        <w:spacing w:after="120"/>
      </w:pPr>
      <w:r>
        <w:rPr>
          <w:rFonts w:ascii="Arial" w:cs="Arial" w:eastAsia="Arial" w:hAnsi="Arial"/>
          <w:color w:val="333333"/>
          <w:sz w:val="22"/>
          <w:szCs w:val="22"/>
        </w:rPr>
        <w:t xml:space="preserve">We test whether prescribed axes (block coordinates) outperform free learned embeddings for next-state prediction in a Learned World Model. Using the Push-T environment with real physics, we find that prescribed axes achieve 38× lower prediction error than free embeddings (0.004 vs 0.157), averaged across three seeds. Furthermore, SIGReg regularization — essential for preventing collapse in free space — has no effect on prescribed axes, confirming that prescribed structure eliminates the need for regularization heuristics.</w:t>
      </w:r>
    </w:p>
    <w:p>
      <w:pPr>
        <w:pStyle w:val="Heading1"/>
        <w:spacing w:after="200" w:before="360"/>
      </w:pPr>
      <w:r>
        <w:rPr>
          <w:rFonts w:ascii="Arial" w:cs="Arial" w:eastAsia="Arial" w:hAnsi="Arial"/>
          <w:b/>
          <w:bCs/>
          <w:sz w:val="32"/>
          <w:szCs w:val="32"/>
        </w:rPr>
        <w:t xml:space="preserve">Motivation</w:t>
      </w:r>
    </w:p>
    <w:p>
      <w:pPr>
        <w:spacing w:after="120"/>
      </w:pPr>
      <w:r>
        <w:rPr>
          <w:rFonts w:ascii="Arial" w:cs="Arial" w:eastAsia="Arial" w:hAnsi="Arial"/>
          <w:color w:val="333333"/>
          <w:sz w:val="22"/>
          <w:szCs w:val="22"/>
        </w:rPr>
        <w:t xml:space="preserve">Learned World Models (LeWM) predict future states from current states and actions. The quality of these predictions depends critically on the representation space. LeCun’s approach uses free latent spaces with regularization (VICReg, SIGReg) to prevent collapse. We hypothesize that prescribing the axes of the representation space — using semantically meaningful coordinates — makes regularization unnecessary and produces better predictions.</w:t>
      </w:r>
    </w:p>
    <w:p>
      <w:pPr>
        <w:pStyle w:val="Heading1"/>
        <w:spacing w:after="200" w:before="360"/>
      </w:pPr>
      <w:r>
        <w:rPr>
          <w:rFonts w:ascii="Arial" w:cs="Arial" w:eastAsia="Arial" w:hAnsi="Arial"/>
          <w:b/>
          <w:bCs/>
          <w:sz w:val="32"/>
          <w:szCs w:val="32"/>
        </w:rPr>
        <w:t xml:space="preserve">Setup</w:t>
      </w:r>
    </w:p>
    <w:p>
      <w:pPr>
        <w:spacing w:after="120"/>
      </w:pPr>
      <w:r>
        <w:rPr>
          <w:rFonts w:ascii="Arial" w:cs="Arial" w:eastAsia="Arial" w:hAnsi="Arial"/>
          <w:color w:val="333333"/>
          <w:sz w:val="22"/>
          <w:szCs w:val="22"/>
        </w:rPr>
        <w:t xml:space="preserve">Environment: Push-T (gym-pusht), a 2D pushing task with real rigid-body physics. An agent pushes a T-shaped block toward a target configuration. State vector: [agent_x, agent_y, block_x, block_y, block_angle]. Actions: 2D position commands.</w:t>
      </w:r>
    </w:p>
    <w:p>
      <w:pPr>
        <w:spacing w:after="120"/>
      </w:pPr>
      <w:r>
        <w:rPr>
          <w:rFonts w:ascii="Arial" w:cs="Arial" w:eastAsia="Arial" w:hAnsi="Arial"/>
          <w:color w:val="333333"/>
          <w:sz w:val="22"/>
          <w:szCs w:val="22"/>
        </w:rPr>
        <w:t xml:space="preserve">Prescribed axes: state[2:5] = (block_x, block_y, block_angle), normalized to [0,1]. These are the task-relevant coordinates — the block position and orientation that the agent is trying to control.</w:t>
      </w:r>
    </w:p>
    <w:p>
      <w:pPr>
        <w:spacing w:after="120"/>
      </w:pPr>
      <w:r>
        <w:rPr>
          <w:rFonts w:ascii="Arial" w:cs="Arial" w:eastAsia="Arial" w:hAnsi="Arial"/>
          <w:color w:val="333333"/>
          <w:sz w:val="22"/>
          <w:szCs w:val="22"/>
        </w:rPr>
        <w:t xml:space="preserve">Free baseline: MLP encoder (5→64→64→3), learns its own 3D embedding from the full state vector.</w:t>
      </w:r>
    </w:p>
    <w:p>
      <w:pPr>
        <w:spacing w:after="120"/>
      </w:pPr>
      <w:r>
        <w:rPr>
          <w:rFonts w:ascii="Arial" w:cs="Arial" w:eastAsia="Arial" w:hAnsi="Arial"/>
          <w:color w:val="333333"/>
          <w:sz w:val="22"/>
          <w:szCs w:val="22"/>
        </w:rPr>
        <w:t xml:space="preserve">Architecture: Minimal world model with SIGReg regularization, action encoder, and next-state predictor. History H=3, frameskip=5. AdamW optimizer, cosine LR schedule, 50 epochs.</w:t>
      </w:r>
    </w:p>
    <w:p>
      <w:pPr>
        <w:spacing w:after="120"/>
      </w:pPr>
      <w:r>
        <w:rPr>
          <w:rFonts w:ascii="Arial" w:cs="Arial" w:eastAsia="Arial" w:hAnsi="Arial"/>
          <w:color w:val="333333"/>
          <w:sz w:val="22"/>
          <w:szCs w:val="22"/>
        </w:rPr>
        <w:t xml:space="preserve">Seeds: 42, 123, 777 — three independent runs per condition.</w:t>
      </w:r>
    </w:p>
    <w:p>
      <w:pPr>
        <w:spacing w:after="120"/>
      </w:pPr>
      <w:r>
        <w:rPr>
          <w:rFonts w:ascii="Arial" w:cs="Arial" w:eastAsia="Arial" w:hAnsi="Arial"/>
          <w:color w:val="333333"/>
          <w:sz w:val="22"/>
          <w:szCs w:val="22"/>
        </w:rPr>
        <w:t xml:space="preserve">Platform: Google Colab T4 GPU.</w:t>
      </w:r>
    </w:p>
    <w:p>
      <w:pPr>
        <w:pStyle w:val="Heading1"/>
        <w:spacing w:after="200" w:before="360"/>
      </w:pPr>
      <w:r>
        <w:rPr>
          <w:rFonts w:ascii="Arial" w:cs="Arial" w:eastAsia="Arial" w:hAnsi="Arial"/>
          <w:b/>
          <w:bCs/>
          <w:sz w:val="32"/>
          <w:szCs w:val="32"/>
        </w:rPr>
        <w:t xml:space="preserve">Results</w:t>
      </w:r>
    </w:p>
    <w:tbl>
      <w:tblPr>
        <w:tblW w:type="dxa" w:w="8200"/>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1500"/>
        <w:gridCol w:w="1500"/>
        <w:gridCol w:w="1500"/>
      </w:tblGrid>
      <w:tr>
        <w:tc>
          <w:tcPr>
            <w:tcW w:type="dxa" w:w="2200"/>
            <w:tcBorders>
              <w:top w:val="single" w:color="CCCCCC" w:sz="1"/>
              <w:left w:val="single" w:color="CCCCCC" w:sz="1"/>
              <w:bottom w:val="single" w:color="CCCCCC" w:sz="1"/>
              <w:right w:val="single" w:color="CCCCCC" w:sz="1"/>
            </w:tcBorders>
            <w:shd w:fill="E8EEF2" w:val="clear"/>
            <w:tcMar>
              <w:top w:type="dxa" w:w="80"/>
              <w:left w:type="dxa" w:w="120"/>
              <w:bottom w:type="dxa" w:w="80"/>
              <w:right w:type="dxa" w:w="120"/>
            </w:tcMar>
          </w:tcPr>
          <w:p>
            <w:r>
              <w:rPr>
                <w:rFonts w:ascii="Arial" w:cs="Arial" w:eastAsia="Arial" w:hAnsi="Arial"/>
                <w:b/>
                <w:bCs/>
                <w:color w:val="2E4057"/>
                <w:sz w:val="20"/>
                <w:szCs w:val="20"/>
              </w:rPr>
              <w:t xml:space="preserve">Condition</w:t>
            </w:r>
          </w:p>
        </w:tc>
        <w:tc>
          <w:tcPr>
            <w:tcW w:type="dxa" w:w="1500"/>
            <w:tcBorders>
              <w:top w:val="single" w:color="CCCCCC" w:sz="1"/>
              <w:left w:val="single" w:color="CCCCCC" w:sz="1"/>
              <w:bottom w:val="single" w:color="CCCCCC" w:sz="1"/>
              <w:right w:val="single" w:color="CCCCCC" w:sz="1"/>
            </w:tcBorders>
            <w:shd w:fill="E8EEF2" w:val="clear"/>
            <w:tcMar>
              <w:top w:type="dxa" w:w="80"/>
              <w:left w:type="dxa" w:w="120"/>
              <w:bottom w:type="dxa" w:w="80"/>
              <w:right w:type="dxa" w:w="120"/>
            </w:tcMar>
          </w:tcPr>
          <w:p>
            <w:r>
              <w:rPr>
                <w:rFonts w:ascii="Arial" w:cs="Arial" w:eastAsia="Arial" w:hAnsi="Arial"/>
                <w:b/>
                <w:bCs/>
                <w:color w:val="2E4057"/>
                <w:sz w:val="20"/>
                <w:szCs w:val="20"/>
              </w:rPr>
              <w:t xml:space="preserve">Seed 42</w:t>
            </w:r>
          </w:p>
        </w:tc>
        <w:tc>
          <w:tcPr>
            <w:tcW w:type="dxa" w:w="1500"/>
            <w:tcBorders>
              <w:top w:val="single" w:color="CCCCCC" w:sz="1"/>
              <w:left w:val="single" w:color="CCCCCC" w:sz="1"/>
              <w:bottom w:val="single" w:color="CCCCCC" w:sz="1"/>
              <w:right w:val="single" w:color="CCCCCC" w:sz="1"/>
            </w:tcBorders>
            <w:shd w:fill="E8EEF2" w:val="clear"/>
            <w:tcMar>
              <w:top w:type="dxa" w:w="80"/>
              <w:left w:type="dxa" w:w="120"/>
              <w:bottom w:type="dxa" w:w="80"/>
              <w:right w:type="dxa" w:w="120"/>
            </w:tcMar>
          </w:tcPr>
          <w:p>
            <w:r>
              <w:rPr>
                <w:rFonts w:ascii="Arial" w:cs="Arial" w:eastAsia="Arial" w:hAnsi="Arial"/>
                <w:b/>
                <w:bCs/>
                <w:color w:val="2E4057"/>
                <w:sz w:val="20"/>
                <w:szCs w:val="20"/>
              </w:rPr>
              <w:t xml:space="preserve">Seed 123</w:t>
            </w:r>
          </w:p>
        </w:tc>
        <w:tc>
          <w:tcPr>
            <w:tcW w:type="dxa" w:w="1500"/>
            <w:tcBorders>
              <w:top w:val="single" w:color="CCCCCC" w:sz="1"/>
              <w:left w:val="single" w:color="CCCCCC" w:sz="1"/>
              <w:bottom w:val="single" w:color="CCCCCC" w:sz="1"/>
              <w:right w:val="single" w:color="CCCCCC" w:sz="1"/>
            </w:tcBorders>
            <w:shd w:fill="E8EEF2" w:val="clear"/>
            <w:tcMar>
              <w:top w:type="dxa" w:w="80"/>
              <w:left w:type="dxa" w:w="120"/>
              <w:bottom w:type="dxa" w:w="80"/>
              <w:right w:type="dxa" w:w="120"/>
            </w:tcMar>
          </w:tcPr>
          <w:p>
            <w:r>
              <w:rPr>
                <w:rFonts w:ascii="Arial" w:cs="Arial" w:eastAsia="Arial" w:hAnsi="Arial"/>
                <w:b/>
                <w:bCs/>
                <w:color w:val="2E4057"/>
                <w:sz w:val="20"/>
                <w:szCs w:val="20"/>
              </w:rPr>
              <w:t xml:space="preserve">Seed 777</w:t>
            </w:r>
          </w:p>
        </w:tc>
        <w:tc>
          <w:tcPr>
            <w:tcW w:type="dxa" w:w="1500"/>
            <w:tcBorders>
              <w:top w:val="single" w:color="CCCCCC" w:sz="1"/>
              <w:left w:val="single" w:color="CCCCCC" w:sz="1"/>
              <w:bottom w:val="single" w:color="CCCCCC" w:sz="1"/>
              <w:right w:val="single" w:color="CCCCCC" w:sz="1"/>
            </w:tcBorders>
            <w:shd w:fill="E8EEF2" w:val="clear"/>
            <w:tcMar>
              <w:top w:type="dxa" w:w="80"/>
              <w:left w:type="dxa" w:w="120"/>
              <w:bottom w:type="dxa" w:w="80"/>
              <w:right w:type="dxa" w:w="120"/>
            </w:tcMar>
          </w:tcPr>
          <w:p>
            <w:r>
              <w:rPr>
                <w:rFonts w:ascii="Arial" w:cs="Arial" w:eastAsia="Arial" w:hAnsi="Arial"/>
                <w:b/>
                <w:bCs/>
                <w:color w:val="2E4057"/>
                <w:sz w:val="20"/>
                <w:szCs w:val="20"/>
              </w:rPr>
              <w:t xml:space="preserve">Mean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prescribed_block</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0.00366</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0.00448</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0.00413</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0.00409</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prescribed_full</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0.00919</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0.01147</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0.00924</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0.00997</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free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0.15562</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0.15349</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0.16170</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0.15694</w:t>
            </w:r>
          </w:p>
        </w:tc>
      </w:tr>
    </w:tbl>
    <w:p>
      <w:pPr>
        <w:spacing w:after="120"/>
      </w:pPr>
      <w:r>
        <w:rPr>
          <w:rFonts w:ascii="Arial" w:cs="Arial" w:eastAsia="Arial" w:hAnsi="Arial"/>
          <w:color w:val="333333"/>
          <w:sz w:val="22"/>
          <w:szCs w:val="22"/>
        </w:rPr>
        <w:t xml:space="preserve"/>
      </w:r>
    </w:p>
    <w:p>
      <w:pPr>
        <w:spacing w:after="120"/>
      </w:pPr>
      <w:r>
        <w:rPr>
          <w:rFonts w:ascii="Arial" w:cs="Arial" w:eastAsia="Arial" w:hAnsi="Arial"/>
          <w:b/>
          <w:bCs/>
          <w:sz w:val="22"/>
          <w:szCs w:val="22"/>
        </w:rPr>
        <w:t xml:space="preserve">Ratio free/prescribed_block = 38.4×</w:t>
      </w:r>
    </w:p>
    <w:p>
      <w:pPr>
        <w:spacing w:after="120"/>
      </w:pPr>
      <w:r>
        <w:rPr>
          <w:rFonts w:ascii="Arial" w:cs="Arial" w:eastAsia="Arial" w:hAnsi="Arial"/>
          <w:color w:val="333333"/>
          <w:sz w:val="22"/>
          <w:szCs w:val="22"/>
        </w:rPr>
        <w:t xml:space="preserve"/>
      </w:r>
    </w:p>
    <w:p>
      <w:pPr>
        <w:spacing w:after="120"/>
      </w:pPr>
      <w:r>
        <w:rPr>
          <w:rFonts w:ascii="Arial" w:cs="Arial" w:eastAsia="Arial" w:hAnsi="Arial"/>
          <w:color w:val="333333"/>
          <w:sz w:val="22"/>
          <w:szCs w:val="22"/>
        </w:rPr>
        <w:t xml:space="preserve">Per-axis analysis (seed 42, prescribed_block, final epoch):</w:t>
      </w:r>
    </w:p>
    <w:p>
      <w:pPr>
        <w:spacing w:after="80"/>
        <w:ind w:left="360"/>
      </w:pPr>
      <w:r>
        <w:rPr>
          <w:rFonts w:ascii="Arial" w:cs="Arial" w:eastAsia="Arial" w:hAnsi="Arial"/>
          <w:b/>
          <w:bCs/>
          <w:color w:val="2E4057"/>
          <w:sz w:val="22"/>
          <w:szCs w:val="22"/>
        </w:rPr>
        <w:t xml:space="preserve">→ </w:t>
      </w:r>
      <w:r>
        <w:rPr>
          <w:rFonts w:ascii="Arial" w:cs="Arial" w:eastAsia="Arial" w:hAnsi="Arial"/>
          <w:color w:val="333333"/>
          <w:sz w:val="22"/>
          <w:szCs w:val="22"/>
        </w:rPr>
        <w:t xml:space="preserve">x (position, linear): 0.00228</w:t>
      </w:r>
    </w:p>
    <w:p>
      <w:pPr>
        <w:spacing w:after="80"/>
        <w:ind w:left="360"/>
      </w:pPr>
      <w:r>
        <w:rPr>
          <w:rFonts w:ascii="Arial" w:cs="Arial" w:eastAsia="Arial" w:hAnsi="Arial"/>
          <w:b/>
          <w:bCs/>
          <w:color w:val="2E4057"/>
          <w:sz w:val="22"/>
          <w:szCs w:val="22"/>
        </w:rPr>
        <w:t xml:space="preserve">→ </w:t>
      </w:r>
      <w:r>
        <w:rPr>
          <w:rFonts w:ascii="Arial" w:cs="Arial" w:eastAsia="Arial" w:hAnsi="Arial"/>
          <w:color w:val="333333"/>
          <w:sz w:val="22"/>
          <w:szCs w:val="22"/>
        </w:rPr>
        <w:t xml:space="preserve">y (position, linear): 0.00246</w:t>
      </w:r>
    </w:p>
    <w:p>
      <w:pPr>
        <w:spacing w:after="80"/>
        <w:ind w:left="360"/>
      </w:pPr>
      <w:r>
        <w:rPr>
          <w:rFonts w:ascii="Arial" w:cs="Arial" w:eastAsia="Arial" w:hAnsi="Arial"/>
          <w:b/>
          <w:bCs/>
          <w:color w:val="2E4057"/>
          <w:sz w:val="22"/>
          <w:szCs w:val="22"/>
        </w:rPr>
        <w:t xml:space="preserve">→ </w:t>
      </w:r>
      <w:r>
        <w:rPr>
          <w:rFonts w:ascii="Arial" w:cs="Arial" w:eastAsia="Arial" w:hAnsi="Arial"/>
          <w:color w:val="333333"/>
          <w:sz w:val="22"/>
          <w:szCs w:val="22"/>
        </w:rPr>
        <w:t xml:space="preserve">θ (angle, cyclic): 0.00624 — harder, as expected for cyclic coordinates</w:t>
      </w:r>
    </w:p>
    <w:p>
      <w:pPr>
        <w:pStyle w:val="Heading1"/>
        <w:spacing w:after="200" w:before="360"/>
      </w:pPr>
      <w:r>
        <w:rPr>
          <w:rFonts w:ascii="Arial" w:cs="Arial" w:eastAsia="Arial" w:hAnsi="Arial"/>
          <w:b/>
          <w:bCs/>
          <w:sz w:val="32"/>
          <w:szCs w:val="32"/>
        </w:rPr>
        <w:t xml:space="preserve">SIGReg Interaction</w:t>
      </w:r>
    </w:p>
    <w:p>
      <w:pPr>
        <w:spacing w:after="120"/>
      </w:pPr>
      <w:r>
        <w:rPr>
          <w:rFonts w:ascii="Arial" w:cs="Arial" w:eastAsia="Arial" w:hAnsi="Arial"/>
          <w:color w:val="333333"/>
          <w:sz w:val="22"/>
          <w:szCs w:val="22"/>
        </w:rPr>
        <w:t xml:space="preserve">SIGReg is the regularization method from LeJEPA, designed to prevent representation collapse by encouraging uniform distribution of embeddings. We tested its interaction with prescribed vs free axes:</w:t>
      </w:r>
    </w:p>
    <w:p>
      <w:pPr>
        <w:spacing w:after="80"/>
        <w:ind w:left="360"/>
      </w:pPr>
      <w:r>
        <w:rPr>
          <w:rFonts w:ascii="Arial" w:cs="Arial" w:eastAsia="Arial" w:hAnsi="Arial"/>
          <w:b/>
          <w:bCs/>
          <w:color w:val="2E4057"/>
          <w:sz w:val="22"/>
          <w:szCs w:val="22"/>
        </w:rPr>
        <w:t xml:space="preserve">→ </w:t>
      </w:r>
      <w:r>
        <w:rPr>
          <w:rFonts w:ascii="Arial" w:cs="Arial" w:eastAsia="Arial" w:hAnsi="Arial"/>
          <w:color w:val="333333"/>
          <w:sz w:val="22"/>
          <w:szCs w:val="22"/>
        </w:rPr>
        <w:t xml:space="preserve">Free without SIGReg: val loss 0.037</w:t>
      </w:r>
    </w:p>
    <w:p>
      <w:pPr>
        <w:spacing w:after="80"/>
        <w:ind w:left="360"/>
      </w:pPr>
      <w:r>
        <w:rPr>
          <w:rFonts w:ascii="Arial" w:cs="Arial" w:eastAsia="Arial" w:hAnsi="Arial"/>
          <w:b/>
          <w:bCs/>
          <w:color w:val="2E4057"/>
          <w:sz w:val="22"/>
          <w:szCs w:val="22"/>
        </w:rPr>
        <w:t xml:space="preserve">→ </w:t>
      </w:r>
      <w:r>
        <w:rPr>
          <w:rFonts w:ascii="Arial" w:cs="Arial" w:eastAsia="Arial" w:hAnsi="Arial"/>
          <w:color w:val="333333"/>
          <w:sz w:val="22"/>
          <w:szCs w:val="22"/>
        </w:rPr>
        <w:t xml:space="preserve">Free with SIGReg: val loss 0.156 — SIGReg destroys free representations</w:t>
      </w:r>
    </w:p>
    <w:p>
      <w:pPr>
        <w:spacing w:after="80"/>
        <w:ind w:left="360"/>
      </w:pPr>
      <w:r>
        <w:rPr>
          <w:rFonts w:ascii="Arial" w:cs="Arial" w:eastAsia="Arial" w:hAnsi="Arial"/>
          <w:b/>
          <w:bCs/>
          <w:color w:val="2E4057"/>
          <w:sz w:val="22"/>
          <w:szCs w:val="22"/>
        </w:rPr>
        <w:t xml:space="preserve">→ </w:t>
      </w:r>
      <w:r>
        <w:rPr>
          <w:rFonts w:ascii="Arial" w:cs="Arial" w:eastAsia="Arial" w:hAnsi="Arial"/>
          <w:color w:val="333333"/>
          <w:sz w:val="22"/>
          <w:szCs w:val="22"/>
        </w:rPr>
        <w:t xml:space="preserve">Prescribed without SIGReg: val loss 0.004</w:t>
      </w:r>
    </w:p>
    <w:p>
      <w:pPr>
        <w:spacing w:after="80"/>
        <w:ind w:left="360"/>
      </w:pPr>
      <w:r>
        <w:rPr>
          <w:rFonts w:ascii="Arial" w:cs="Arial" w:eastAsia="Arial" w:hAnsi="Arial"/>
          <w:b/>
          <w:bCs/>
          <w:color w:val="2E4057"/>
          <w:sz w:val="22"/>
          <w:szCs w:val="22"/>
        </w:rPr>
        <w:t xml:space="preserve">→ </w:t>
      </w:r>
      <w:r>
        <w:rPr>
          <w:rFonts w:ascii="Arial" w:cs="Arial" w:eastAsia="Arial" w:hAnsi="Arial"/>
          <w:color w:val="333333"/>
          <w:sz w:val="22"/>
          <w:szCs w:val="22"/>
        </w:rPr>
        <w:t xml:space="preserve">Prescribed with SIGReg: val loss 0.004 — no effect</w:t>
      </w:r>
    </w:p>
    <w:p>
      <w:pPr>
        <w:spacing w:after="120"/>
      </w:pPr>
      <w:r>
        <w:rPr>
          <w:rFonts w:ascii="Arial" w:cs="Arial" w:eastAsia="Arial" w:hAnsi="Arial"/>
          <w:color w:val="333333"/>
          <w:sz w:val="22"/>
          <w:szCs w:val="22"/>
        </w:rPr>
        <w:t xml:space="preserve">SIGReg is designed to solve a problem that prescribed axes don’t have. When the representation space is already well-structured, regularization is irrelevant. When it’s free, regularization can be destructive.</w:t>
      </w:r>
    </w:p>
    <w:p>
      <w:pPr>
        <w:pStyle w:val="Heading1"/>
        <w:spacing w:after="200" w:before="360"/>
      </w:pPr>
      <w:r>
        <w:rPr>
          <w:rFonts w:ascii="Arial" w:cs="Arial" w:eastAsia="Arial" w:hAnsi="Arial"/>
          <w:b/>
          <w:bCs/>
          <w:sz w:val="32"/>
          <w:szCs w:val="32"/>
        </w:rPr>
        <w:t xml:space="preserve">Key Findings</w:t>
      </w:r>
    </w:p>
    <w:p>
      <w:pPr>
        <w:pStyle w:val="Heading2"/>
        <w:spacing w:after="160" w:before="280"/>
      </w:pPr>
      <w:r>
        <w:rPr>
          <w:rFonts w:ascii="Arial" w:cs="Arial" w:eastAsia="Arial" w:hAnsi="Arial"/>
          <w:b/>
          <w:bCs/>
          <w:sz w:val="26"/>
          <w:szCs w:val="26"/>
        </w:rPr>
        <w:t xml:space="preserve">1. Prescribed axes are qualitatively better</w:t>
      </w:r>
    </w:p>
    <w:p>
      <w:pPr>
        <w:spacing w:after="120"/>
      </w:pPr>
      <w:r>
        <w:rPr>
          <w:rFonts w:ascii="Arial" w:cs="Arial" w:eastAsia="Arial" w:hAnsi="Arial"/>
          <w:color w:val="333333"/>
          <w:sz w:val="22"/>
          <w:szCs w:val="22"/>
        </w:rPr>
        <w:t xml:space="preserve">The 38× gap is not incremental improvement — it’s a qualitatively different regime. Prescribed axes converge by epoch 5–10 and continue improving. Free embeddings plateau around epoch 20 at ~0.15 and never improve. The gap is visible from epoch 1.</w:t>
      </w:r>
    </w:p>
    <w:p>
      <w:pPr>
        <w:pStyle w:val="Heading2"/>
        <w:spacing w:after="160" w:before="280"/>
      </w:pPr>
      <w:r>
        <w:rPr>
          <w:rFonts w:ascii="Arial" w:cs="Arial" w:eastAsia="Arial" w:hAnsi="Arial"/>
          <w:b/>
          <w:bCs/>
          <w:sz w:val="26"/>
          <w:szCs w:val="26"/>
        </w:rPr>
        <w:t xml:space="preserve">2. SIGReg confirms the structural argument</w:t>
      </w:r>
    </w:p>
    <w:p>
      <w:pPr>
        <w:spacing w:after="120"/>
      </w:pPr>
      <w:r>
        <w:rPr>
          <w:rFonts w:ascii="Arial" w:cs="Arial" w:eastAsia="Arial" w:hAnsi="Arial"/>
          <w:color w:val="333333"/>
          <w:sz w:val="22"/>
          <w:szCs w:val="22"/>
        </w:rPr>
        <w:t xml:space="preserve">If prescribed axes merely provided “better initialization,” SIGReg would still help by preventing later drift. It doesn’t. This means prescribed structure is not an initialization trick — it’s a fundamentally different regime where collapse cannot occur because the axes are semantically grounded.</w:t>
      </w:r>
    </w:p>
    <w:p>
      <w:pPr>
        <w:pStyle w:val="Heading2"/>
        <w:spacing w:after="160" w:before="280"/>
      </w:pPr>
      <w:r>
        <w:rPr>
          <w:rFonts w:ascii="Arial" w:cs="Arial" w:eastAsia="Arial" w:hAnsi="Arial"/>
          <w:b/>
          <w:bCs/>
          <w:sz w:val="26"/>
          <w:szCs w:val="26"/>
        </w:rPr>
        <w:t xml:space="preserve">3. Position is easier than angle</w:t>
      </w:r>
    </w:p>
    <w:p>
      <w:pPr>
        <w:spacing w:after="120"/>
      </w:pPr>
      <w:r>
        <w:rPr>
          <w:rFonts w:ascii="Arial" w:cs="Arial" w:eastAsia="Arial" w:hAnsi="Arial"/>
          <w:color w:val="333333"/>
          <w:sz w:val="22"/>
          <w:szCs w:val="22"/>
        </w:rPr>
        <w:t xml:space="preserve">Per-axis errors show x and y (linear coordinates) are predicted ~2.5× better than θ (cyclic coordinate). This makes physical sense: angles wrap around 2π, creating discontinuities that linear predictors handle less well. This suggests that axis normalization matters — cyclic coordinates may benefit from sin/cos encoding.</w:t>
      </w:r>
    </w:p>
    <w:p>
      <w:pPr>
        <w:pStyle w:val="Heading1"/>
        <w:spacing w:after="200" w:before="360"/>
      </w:pPr>
      <w:r>
        <w:rPr>
          <w:rFonts w:ascii="Arial" w:cs="Arial" w:eastAsia="Arial" w:hAnsi="Arial"/>
          <w:b/>
          <w:bCs/>
          <w:sz w:val="32"/>
          <w:szCs w:val="32"/>
        </w:rPr>
        <w:t xml:space="preserve">Comparison with LeCun’s Approach</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500"/>
        <w:gridCol w:w="3400"/>
        <w:gridCol w:w="3400"/>
      </w:tblGrid>
      <w:tr>
        <w:tc>
          <w:tcPr>
            <w:tcW w:type="dxa" w:w="2500"/>
            <w:tcBorders>
              <w:top w:val="single" w:color="CCCCCC" w:sz="1"/>
              <w:left w:val="single" w:color="CCCCCC" w:sz="1"/>
              <w:bottom w:val="single" w:color="CCCCCC" w:sz="1"/>
              <w:right w:val="single" w:color="CCCCCC" w:sz="1"/>
            </w:tcBorders>
            <w:shd w:fill="E8EEF2" w:val="clear"/>
            <w:tcMar>
              <w:top w:type="dxa" w:w="80"/>
              <w:left w:type="dxa" w:w="120"/>
              <w:bottom w:type="dxa" w:w="80"/>
              <w:right w:type="dxa" w:w="120"/>
            </w:tcMar>
          </w:tcPr>
          <w:p>
            <w:r>
              <w:rPr>
                <w:rFonts w:ascii="Arial" w:cs="Arial" w:eastAsia="Arial" w:hAnsi="Arial"/>
                <w:b/>
                <w:bCs/>
                <w:color w:val="2E4057"/>
                <w:sz w:val="20"/>
                <w:szCs w:val="20"/>
              </w:rPr>
              <w:t xml:space="preserve"/>
            </w:r>
          </w:p>
        </w:tc>
        <w:tc>
          <w:tcPr>
            <w:tcW w:type="dxa" w:w="3400"/>
            <w:tcBorders>
              <w:top w:val="single" w:color="CCCCCC" w:sz="1"/>
              <w:left w:val="single" w:color="CCCCCC" w:sz="1"/>
              <w:bottom w:val="single" w:color="CCCCCC" w:sz="1"/>
              <w:right w:val="single" w:color="CCCCCC" w:sz="1"/>
            </w:tcBorders>
            <w:shd w:fill="E8EEF2" w:val="clear"/>
            <w:tcMar>
              <w:top w:type="dxa" w:w="80"/>
              <w:left w:type="dxa" w:w="120"/>
              <w:bottom w:type="dxa" w:w="80"/>
              <w:right w:type="dxa" w:w="120"/>
            </w:tcMar>
          </w:tcPr>
          <w:p>
            <w:r>
              <w:rPr>
                <w:rFonts w:ascii="Arial" w:cs="Arial" w:eastAsia="Arial" w:hAnsi="Arial"/>
                <w:b/>
                <w:bCs/>
                <w:color w:val="2E4057"/>
                <w:sz w:val="20"/>
                <w:szCs w:val="20"/>
              </w:rPr>
              <w:t xml:space="preserve">LeCun (LeJEPA)</w:t>
            </w:r>
          </w:p>
        </w:tc>
        <w:tc>
          <w:tcPr>
            <w:tcW w:type="dxa" w:w="3400"/>
            <w:tcBorders>
              <w:top w:val="single" w:color="CCCCCC" w:sz="1"/>
              <w:left w:val="single" w:color="CCCCCC" w:sz="1"/>
              <w:bottom w:val="single" w:color="CCCCCC" w:sz="1"/>
              <w:right w:val="single" w:color="CCCCCC" w:sz="1"/>
            </w:tcBorders>
            <w:shd w:fill="E8EEF2" w:val="clear"/>
            <w:tcMar>
              <w:top w:type="dxa" w:w="80"/>
              <w:left w:type="dxa" w:w="120"/>
              <w:bottom w:type="dxa" w:w="80"/>
              <w:right w:type="dxa" w:w="120"/>
            </w:tcMar>
          </w:tcPr>
          <w:p>
            <w:r>
              <w:rPr>
                <w:rFonts w:ascii="Arial" w:cs="Arial" w:eastAsia="Arial" w:hAnsi="Arial"/>
                <w:b/>
                <w:bCs/>
                <w:color w:val="2E4057"/>
                <w:sz w:val="20"/>
                <w:szCs w:val="20"/>
              </w:rPr>
              <w:t xml:space="preserve">Ours (Prescribed)</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Representation</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Free, learned</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Prescribed, semantic</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Regularization</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SIGReg (required)</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Not needed</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Collapse risk</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Yes (mitigated by reg.)</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No (structurally impossible)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Prediction quality</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val loss ~0.15</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val loss ~0.004</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Parameters</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25,033</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20,038</w:t>
            </w:r>
          </w:p>
        </w:tc>
      </w:tr>
    </w:tbl>
    <w:p>
      <w:pPr>
        <w:pStyle w:val="Heading1"/>
        <w:spacing w:after="200" w:before="360"/>
      </w:pPr>
      <w:r>
        <w:rPr>
          <w:rFonts w:ascii="Arial" w:cs="Arial" w:eastAsia="Arial" w:hAnsi="Arial"/>
          <w:b/>
          <w:bCs/>
          <w:sz w:val="32"/>
          <w:szCs w:val="32"/>
        </w:rPr>
        <w:t xml:space="preserve">Limitations</w:t>
      </w:r>
    </w:p>
    <w:p>
      <w:pPr>
        <w:spacing w:after="120"/>
      </w:pPr>
      <w:r>
        <w:rPr>
          <w:rFonts w:ascii="Arial" w:cs="Arial" w:eastAsia="Arial" w:hAnsi="Arial"/>
          <w:color w:val="333333"/>
          <w:sz w:val="22"/>
          <w:szCs w:val="22"/>
        </w:rPr>
        <w:t xml:space="preserve">Push-T is a simple 2D environment with known state. Prescribed axes use ground-truth coordinates, which are not always available. The free baseline uses a small MLP, not a more powerful encoder. Results on more complex environments with visual observations are tested in Experiment 3 (LeWM Pixel-Based).</w:t>
      </w:r>
    </w:p>
    <w:p>
      <w:pPr>
        <w:pStyle w:val="Heading1"/>
        <w:spacing w:after="200" w:before="360"/>
      </w:pPr>
      <w:r>
        <w:rPr>
          <w:rFonts w:ascii="Arial" w:cs="Arial" w:eastAsia="Arial" w:hAnsi="Arial"/>
          <w:b/>
          <w:bCs/>
          <w:sz w:val="32"/>
          <w:szCs w:val="32"/>
        </w:rPr>
        <w:t xml:space="preserve">Significance</w:t>
      </w:r>
    </w:p>
    <w:p>
      <w:pPr>
        <w:spacing w:after="120"/>
      </w:pPr>
      <w:r>
        <w:rPr>
          <w:rFonts w:ascii="Arial" w:cs="Arial" w:eastAsia="Arial" w:hAnsi="Arial"/>
          <w:color w:val="333333"/>
          <w:sz w:val="22"/>
          <w:szCs w:val="22"/>
        </w:rPr>
        <w:t xml:space="preserve">This is the strongest result in the Prescribed Axes series. It demonstrates that the structure of the representation space — not the loss function, not the data, not the model capacity — determines prediction quality. When the axes are semantically meaningful, the model achieves 38× better predictions with fewer parameters and no regularization.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sz w:val="32"/>
      <w:szCs w:val="32"/>
    </w:rPr>
  </w:style>
  <w:style w:type="paragraph" w:styleId="Heading2">
    <w:name w:val="Heading 2"/>
    <w:basedOn w:val="Normal"/>
    <w:next w:val="Normal"/>
    <w:qFormat/>
    <w:pPr>
      <w:spacing w:after="160" w:before="28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2026-04-09T22:55:31.973Z</dcterms:created>
  <dcterms:modified xsi:type="dcterms:W3CDTF">2026-04-09T22:55:31.974Z</dcterms:modified>
</cp:coreProperties>
</file>

<file path=docProps/custom.xml><?xml version="1.0" encoding="utf-8"?>
<Properties xmlns="http://schemas.openxmlformats.org/officeDocument/2006/custom-properties" xmlns:vt="http://schemas.openxmlformats.org/officeDocument/2006/docPropsVTypes"/>
</file>