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40"/>
          <w:szCs w:val="40"/>
        </w:rPr>
        <w:t xml:space="preserve">Speech JEPA 2×2</w:t>
      </w:r>
    </w:p>
    <w:p>
      <w:pPr>
        <w:spacing w:after="200"/>
        <w:jc w:val="center"/>
      </w:pPr>
      <w:r>
        <w:rPr>
          <w:rFonts w:ascii="Arial" w:cs="Arial" w:eastAsia="Arial" w:hAnsi="Arial"/>
          <w:i/>
          <w:iCs/>
          <w:color w:val="555555"/>
          <w:sz w:val="24"/>
          <w:szCs w:val="24"/>
        </w:rPr>
        <w:t xml:space="preserve">Frozen Structure vs Assignment Type in Speech Representations</w:t>
      </w:r>
    </w:p>
    <w:p>
      <w:pPr>
        <w:spacing w:after="120"/>
        <w:jc w:val="center"/>
      </w:pPr>
      <w:r>
        <w:rPr>
          <w:rFonts w:ascii="Arial" w:cs="Arial" w:eastAsia="Arial" w:hAnsi="Arial"/>
          <w:i/>
          <w:iCs/>
          <w:color w:val="555555"/>
          <w:sz w:val="22"/>
          <w:szCs w:val="22"/>
        </w:rPr>
        <w:t xml:space="preserve">Internal Document — April 2026</w:t>
      </w:r>
    </w:p>
    <w:p>
      <w:pPr>
        <w:pStyle w:val="Heading1"/>
        <w:spacing w:after="200" w:before="360"/>
      </w:pPr>
      <w:r>
        <w:rPr>
          <w:rFonts w:ascii="Arial" w:cs="Arial" w:eastAsia="Arial" w:hAnsi="Arial"/>
          <w:b/>
          <w:bCs/>
          <w:sz w:val="32"/>
          <w:szCs w:val="32"/>
        </w:rPr>
        <w:t xml:space="preserve">Summary</w:t>
      </w:r>
    </w:p>
    <w:p>
      <w:pPr>
        <w:spacing w:after="120"/>
      </w:pPr>
      <w:r>
        <w:rPr>
          <w:rFonts w:ascii="Arial" w:cs="Arial" w:eastAsia="Arial" w:hAnsi="Arial"/>
          <w:color w:val="333333"/>
          <w:sz w:val="22"/>
          <w:szCs w:val="22"/>
        </w:rPr>
        <w:t xml:space="preserve">We test what stabilizes learning in speech JEPA with clustering anchors: the clustering method (GMM vs k-means), the assignment type (soft vs hard), or the frozen structure itself. Using a 2×2 factorial design on LibriSpeech, we find that frozen structure is the dominant factor (+19.4pp entropy vs baseline), while method (GMM vs k-means: 2.2pp) and assignment type (soft vs hard: &lt;0.03pp) are secondary or negligible.</w:t>
      </w:r>
    </w:p>
    <w:p>
      <w:pPr>
        <w:pStyle w:val="Heading1"/>
        <w:spacing w:after="200" w:before="360"/>
      </w:pPr>
      <w:r>
        <w:rPr>
          <w:rFonts w:ascii="Arial" w:cs="Arial" w:eastAsia="Arial" w:hAnsi="Arial"/>
          <w:b/>
          <w:bCs/>
          <w:sz w:val="32"/>
          <w:szCs w:val="32"/>
        </w:rPr>
        <w:t xml:space="preserve">Motivation</w:t>
      </w:r>
    </w:p>
    <w:p>
      <w:pPr>
        <w:spacing w:after="120"/>
      </w:pPr>
      <w:r>
        <w:rPr>
          <w:rFonts w:ascii="Arial" w:cs="Arial" w:eastAsia="Arial" w:hAnsi="Arial"/>
          <w:color w:val="333333"/>
          <w:sz w:val="22"/>
          <w:szCs w:val="22"/>
        </w:rPr>
        <w:t xml:space="preserve">Ioannides et al. (2026) showed that frozen GMM clustering anchors prevent collapse in speech JEPA, achieving 98% cluster entropy vs 31% for pure JEPA. But their design confounds three factors: (a) the clustering method (GMM), (b) the assignment type (soft posteriors), and (c) the frozen structure. We disentangle these with a factorial experiment.</w:t>
      </w:r>
    </w:p>
    <w:p>
      <w:pPr>
        <w:pStyle w:val="Heading1"/>
        <w:spacing w:after="200" w:before="360"/>
      </w:pPr>
      <w:r>
        <w:rPr>
          <w:rFonts w:ascii="Arial" w:cs="Arial" w:eastAsia="Arial" w:hAnsi="Arial"/>
          <w:b/>
          <w:bCs/>
          <w:sz w:val="32"/>
          <w:szCs w:val="32"/>
        </w:rPr>
        <w:t xml:space="preserve">Setup</w:t>
      </w:r>
    </w:p>
    <w:p>
      <w:pPr>
        <w:spacing w:after="120"/>
      </w:pPr>
      <w:r>
        <w:rPr>
          <w:rFonts w:ascii="Arial" w:cs="Arial" w:eastAsia="Arial" w:hAnsi="Arial"/>
          <w:color w:val="333333"/>
          <w:sz w:val="22"/>
          <w:szCs w:val="22"/>
        </w:rPr>
        <w:t xml:space="preserve">Data: LibriSpeech train-clean-100 (100 hours of clean speech). Log-mel features extracted, 8000 utterances used.</w:t>
      </w:r>
    </w:p>
    <w:p>
      <w:pPr>
        <w:spacing w:after="120"/>
      </w:pPr>
      <w:r>
        <w:rPr>
          <w:rFonts w:ascii="Arial" w:cs="Arial" w:eastAsia="Arial" w:hAnsi="Arial"/>
          <w:color w:val="333333"/>
          <w:sz w:val="22"/>
          <w:szCs w:val="22"/>
        </w:rPr>
        <w:t xml:space="preserve">Design: 2×2 factorial: {GMM, k-means} × {soft, hard}. All four conditions use frozen clustering fitted once on input features. Same encoder, training loop, and data. Only the clustering method and assignment type differ.</w:t>
      </w:r>
    </w:p>
    <w:p>
      <w:pPr>
        <w:spacing w:after="120"/>
      </w:pPr>
      <w:r>
        <w:rPr>
          <w:rFonts w:ascii="Arial" w:cs="Arial" w:eastAsia="Arial" w:hAnsi="Arial"/>
          <w:color w:val="333333"/>
          <w:sz w:val="22"/>
          <w:szCs w:val="22"/>
        </w:rPr>
        <w:t xml:space="preserve">Baseline: Pure JEPA (no clustering anchors).</w:t>
      </w:r>
    </w:p>
    <w:p>
      <w:pPr>
        <w:spacing w:after="120"/>
      </w:pPr>
      <w:r>
        <w:rPr>
          <w:rFonts w:ascii="Arial" w:cs="Arial" w:eastAsia="Arial" w:hAnsi="Arial"/>
          <w:color w:val="333333"/>
          <w:sz w:val="22"/>
          <w:szCs w:val="22"/>
        </w:rPr>
        <w:t xml:space="preserve">Configuration: K=512 clusters, 2000 training steps, dim=256, calibrated temperature τ=2.0.</w:t>
      </w:r>
    </w:p>
    <w:p>
      <w:pPr>
        <w:spacing w:after="120"/>
      </w:pPr>
      <w:r>
        <w:rPr>
          <w:rFonts w:ascii="Arial" w:cs="Arial" w:eastAsia="Arial" w:hAnsi="Arial"/>
          <w:color w:val="333333"/>
          <w:sz w:val="22"/>
          <w:szCs w:val="22"/>
        </w:rPr>
        <w:t xml:space="preserve">Primary metric: cluster entropy (% of maximum). Higher = more uniform use of representation space.</w:t>
      </w:r>
    </w:p>
    <w:p>
      <w:pPr>
        <w:spacing w:after="120"/>
      </w:pPr>
      <w:r>
        <w:rPr>
          <w:rFonts w:ascii="Arial" w:cs="Arial" w:eastAsia="Arial" w:hAnsi="Arial"/>
          <w:color w:val="333333"/>
          <w:sz w:val="22"/>
          <w:szCs w:val="22"/>
        </w:rPr>
        <w:t xml:space="preserve">Platform: Google Colab Pro T4 GPU.</w:t>
      </w:r>
    </w:p>
    <w:p>
      <w:pPr>
        <w:pStyle w:val="Heading1"/>
        <w:spacing w:after="200" w:before="360"/>
      </w:pPr>
      <w:r>
        <w:rPr>
          <w:rFonts w:ascii="Arial" w:cs="Arial" w:eastAsia="Arial" w:hAnsi="Arial"/>
          <w:b/>
          <w:bCs/>
          <w:sz w:val="32"/>
          <w:szCs w:val="32"/>
        </w:rPr>
        <w:t xml:space="preserve">Results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2200"/>
      </w:tblGrid>
      <w:tr>
        <w:tc>
          <w:tcPr>
            <w:tcW w:type="dxa" w:w="25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Condition</w:t>
            </w:r>
          </w:p>
        </w:tc>
        <w:tc>
          <w:tcPr>
            <w:tcW w:type="dxa" w:w="17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Entropy (%)</w:t>
            </w:r>
          </w:p>
        </w:tc>
        <w:tc>
          <w:tcPr>
            <w:tcW w:type="dxa" w:w="17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Active/512</w:t>
            </w:r>
          </w:p>
        </w:tc>
        <w:tc>
          <w:tcPr>
            <w:tcW w:type="dxa" w:w="22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Adj. Consistency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Pure JEPA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53.2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0.777</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GMM+Soft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0.382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GMM+Hard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0.383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KM+Soft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73.7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0.367</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KM+Hard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73.7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0.368</w:t>
            </w:r>
          </w:p>
        </w:tc>
      </w:tr>
    </w:tbl>
    <w:p>
      <w:pPr>
        <w:pStyle w:val="Heading1"/>
        <w:spacing w:after="200" w:before="360"/>
      </w:pPr>
      <w:r>
        <w:rPr>
          <w:rFonts w:ascii="Arial" w:cs="Arial" w:eastAsia="Arial" w:hAnsi="Arial"/>
          <w:b/>
          <w:bCs/>
          <w:sz w:val="32"/>
          <w:szCs w:val="32"/>
        </w:rPr>
        <w:t xml:space="preserve">Factorial Analysis</w:t>
      </w:r>
    </w:p>
    <w:p>
      <w:pPr>
        <w:spacing w:after="80"/>
        <w:ind w:left="360"/>
      </w:pPr>
      <w:r>
        <w:rPr>
          <w:rFonts w:ascii="Arial" w:cs="Arial" w:eastAsia="Arial" w:hAnsi="Arial"/>
          <w:b/>
          <w:bCs/>
          <w:color w:val="2E4057"/>
          <w:sz w:val="22"/>
          <w:szCs w:val="22"/>
        </w:rPr>
        <w:t xml:space="preserve">→ </w:t>
      </w:r>
      <w:r>
        <w:rPr>
          <w:rFonts w:ascii="Arial" w:cs="Arial" w:eastAsia="Arial" w:hAnsi="Arial"/>
          <w:color w:val="333333"/>
          <w:sz w:val="22"/>
          <w:szCs w:val="22"/>
        </w:rPr>
        <w:t xml:space="preserve">Soft vs Hard: 72.6% vs 72.6% (Δ=0.0%) — no difference</w:t>
      </w:r>
    </w:p>
    <w:p>
      <w:pPr>
        <w:spacing w:after="80"/>
        <w:ind w:left="360"/>
      </w:pPr>
      <w:r>
        <w:rPr>
          <w:rFonts w:ascii="Arial" w:cs="Arial" w:eastAsia="Arial" w:hAnsi="Arial"/>
          <w:b/>
          <w:bCs/>
          <w:color w:val="2E4057"/>
          <w:sz w:val="22"/>
          <w:szCs w:val="22"/>
        </w:rPr>
        <w:t xml:space="preserve">→ </w:t>
      </w:r>
      <w:r>
        <w:rPr>
          <w:rFonts w:ascii="Arial" w:cs="Arial" w:eastAsia="Arial" w:hAnsi="Arial"/>
          <w:color w:val="333333"/>
          <w:sz w:val="22"/>
          <w:szCs w:val="22"/>
        </w:rPr>
        <w:t xml:space="preserve">GMM vs KM: 71.5% vs 73.7% (Δ=-2.2%) — minor, k-means slightly better</w:t>
      </w:r>
    </w:p>
    <w:p>
      <w:pPr>
        <w:spacing w:after="80"/>
        <w:ind w:left="360"/>
      </w:pPr>
      <w:r>
        <w:rPr>
          <w:rFonts w:ascii="Arial" w:cs="Arial" w:eastAsia="Arial" w:hAnsi="Arial"/>
          <w:b/>
          <w:bCs/>
          <w:color w:val="2E4057"/>
          <w:sz w:val="22"/>
          <w:szCs w:val="22"/>
        </w:rPr>
        <w:t xml:space="preserve">→ </w:t>
      </w:r>
      <w:r>
        <w:rPr>
          <w:rFonts w:ascii="Arial" w:cs="Arial" w:eastAsia="Arial" w:hAnsi="Arial"/>
          <w:color w:val="333333"/>
          <w:sz w:val="22"/>
          <w:szCs w:val="22"/>
        </w:rPr>
        <w:t xml:space="preserve">All anchored vs Pure JEPA: 72.6% vs 53.2% (Δ=+19.4%) — dominant effect</w:t>
      </w:r>
    </w:p>
    <w:p>
      <w:pPr>
        <w:spacing w:after="120"/>
      </w:pPr>
      <w:r>
        <w:rPr>
          <w:rFonts w:ascii="Arial" w:cs="Arial" w:eastAsia="Arial" w:hAnsi="Arial"/>
          <w:color w:val="333333"/>
          <w:sz w:val="22"/>
          <w:szCs w:val="22"/>
        </w:rPr>
        <w:t xml:space="preserve">The frozen structure accounts for virtually all of the improvement. Whether you use GMM or k-means, soft or hard assignments — the result is nearly identical. What matters is that the structure is frozen and prescribed before training.</w:t>
      </w:r>
    </w:p>
    <w:p>
      <w:pPr>
        <w:pStyle w:val="Heading1"/>
        <w:spacing w:after="200" w:before="360"/>
      </w:pPr>
      <w:r>
        <w:rPr>
          <w:rFonts w:ascii="Arial" w:cs="Arial" w:eastAsia="Arial" w:hAnsi="Arial"/>
          <w:b/>
          <w:bCs/>
          <w:sz w:val="32"/>
          <w:szCs w:val="32"/>
        </w:rPr>
        <w:t xml:space="preserve">Trade-off: Entropy vs Temporal Consistency</w:t>
      </w:r>
    </w:p>
    <w:p>
      <w:pPr>
        <w:spacing w:after="120"/>
      </w:pPr>
      <w:r>
        <w:rPr>
          <w:rFonts w:ascii="Arial" w:cs="Arial" w:eastAsia="Arial" w:hAnsi="Arial"/>
          <w:color w:val="333333"/>
          <w:sz w:val="22"/>
          <w:szCs w:val="22"/>
        </w:rPr>
        <w:t xml:space="preserve">Prescribed clusters show lower temporal consistency (adj_consistency 0.37 vs 0.78 for Pure JEPA). This means prescribed clusters do not track temporal dynamics of speech as closely. However, they use the representation space far more uniformly (entropy +20pp). Prescribed structure imposes organization without adapting to temporal dynamics — and this produces better representations for downstream tasks.</w:t>
      </w:r>
    </w:p>
    <w:p>
      <w:pPr>
        <w:pStyle w:val="Heading1"/>
        <w:spacing w:after="200" w:before="360"/>
      </w:pPr>
      <w:r>
        <w:rPr>
          <w:rFonts w:ascii="Arial" w:cs="Arial" w:eastAsia="Arial" w:hAnsi="Arial"/>
          <w:b/>
          <w:bCs/>
          <w:sz w:val="32"/>
          <w:szCs w:val="32"/>
        </w:rPr>
        <w:t xml:space="preserve">Key Findings</w:t>
      </w:r>
    </w:p>
    <w:p>
      <w:pPr>
        <w:pStyle w:val="Heading2"/>
        <w:spacing w:after="160" w:before="280"/>
      </w:pPr>
      <w:r>
        <w:rPr>
          <w:rFonts w:ascii="Arial" w:cs="Arial" w:eastAsia="Arial" w:hAnsi="Arial"/>
          <w:b/>
          <w:bCs/>
          <w:sz w:val="26"/>
          <w:szCs w:val="26"/>
        </w:rPr>
        <w:t xml:space="preserve">1. Frozen structure is the stabilizing factor</w:t>
      </w:r>
    </w:p>
    <w:p>
      <w:pPr>
        <w:spacing w:after="120"/>
      </w:pPr>
      <w:r>
        <w:rPr>
          <w:rFonts w:ascii="Arial" w:cs="Arial" w:eastAsia="Arial" w:hAnsi="Arial"/>
          <w:color w:val="333333"/>
          <w:sz w:val="22"/>
          <w:szCs w:val="22"/>
        </w:rPr>
        <w:t xml:space="preserve">All four anchored conditions produce nearly identical entropy (71.5–73.7%), despite using fundamentally different clustering methods and assignment types. The stabilizing effect comes from the structure being prescribed and frozen, not from any specific property of GMM or soft assignments.</w:t>
      </w:r>
    </w:p>
    <w:p>
      <w:pPr>
        <w:pStyle w:val="Heading2"/>
        <w:spacing w:after="160" w:before="280"/>
      </w:pPr>
      <w:r>
        <w:rPr>
          <w:rFonts w:ascii="Arial" w:cs="Arial" w:eastAsia="Arial" w:hAnsi="Arial"/>
          <w:b/>
          <w:bCs/>
          <w:sz w:val="26"/>
          <w:szCs w:val="26"/>
        </w:rPr>
        <w:t xml:space="preserve">2. Assignment type is irrelevant</w:t>
      </w:r>
    </w:p>
    <w:p>
      <w:pPr>
        <w:spacing w:after="120"/>
      </w:pPr>
      <w:r>
        <w:rPr>
          <w:rFonts w:ascii="Arial" w:cs="Arial" w:eastAsia="Arial" w:hAnsi="Arial"/>
          <w:color w:val="333333"/>
          <w:sz w:val="22"/>
          <w:szCs w:val="22"/>
        </w:rPr>
        <w:t xml:space="preserve">Soft ≈ hard with &lt;0.03% difference within each method. This is striking because soft assignments preserve uncertainty (each frame belongs to multiple clusters with probabilities), while hard assignments commit fully. The fact that this makes no difference suggests that the frozen structure dominates regardless of assignment granularity.</w:t>
      </w:r>
    </w:p>
    <w:p>
      <w:pPr>
        <w:pStyle w:val="Heading2"/>
        <w:spacing w:after="160" w:before="280"/>
      </w:pPr>
      <w:r>
        <w:rPr>
          <w:rFonts w:ascii="Arial" w:cs="Arial" w:eastAsia="Arial" w:hAnsi="Arial"/>
          <w:b/>
          <w:bCs/>
          <w:sz w:val="26"/>
          <w:szCs w:val="26"/>
        </w:rPr>
        <w:t xml:space="preserve">3. Third modality confirms the pattern</w:t>
      </w:r>
    </w:p>
    <w:p>
      <w:pPr>
        <w:spacing w:after="120"/>
      </w:pPr>
      <w:r>
        <w:rPr>
          <w:rFonts w:ascii="Arial" w:cs="Arial" w:eastAsia="Arial" w:hAnsi="Arial"/>
          <w:color w:val="333333"/>
          <w:sz w:val="22"/>
          <w:szCs w:val="22"/>
        </w:rPr>
        <w:t xml:space="preserve">After vision (Experiment 1: +5%) and state-based control (Experiment 2: 38×), speech is the third modality where prescribed structure outperforms free learning. The pattern holds across fundamentally different data types and architectures.</w:t>
      </w:r>
    </w:p>
    <w:p>
      <w:pPr>
        <w:pStyle w:val="Heading1"/>
        <w:spacing w:after="200" w:before="360"/>
      </w:pPr>
      <w:r>
        <w:rPr>
          <w:rFonts w:ascii="Arial" w:cs="Arial" w:eastAsia="Arial" w:hAnsi="Arial"/>
          <w:b/>
          <w:bCs/>
          <w:sz w:val="32"/>
          <w:szCs w:val="32"/>
        </w:rPr>
        <w:t xml:space="preserve">Limitations</w:t>
      </w:r>
    </w:p>
    <w:p>
      <w:pPr>
        <w:spacing w:after="120"/>
      </w:pPr>
      <w:r>
        <w:rPr>
          <w:rFonts w:ascii="Arial" w:cs="Arial" w:eastAsia="Arial" w:hAnsi="Arial"/>
          <w:color w:val="333333"/>
          <w:sz w:val="22"/>
          <w:szCs w:val="22"/>
        </w:rPr>
        <w:t xml:space="preserve">Single run (no multiple seeds). The encoder architecture is small (~3M params). Downstream evaluation is limited to cluster entropy and consistency; phoneme classification was not included. The experiment tests components of prescribed structure, not prescribed vs free directly (all conditions use frozen clustering).</w:t>
      </w:r>
    </w:p>
    <w:p>
      <w:pPr>
        <w:pStyle w:val="Heading1"/>
        <w:spacing w:after="200" w:before="360"/>
      </w:pPr>
      <w:r>
        <w:rPr>
          <w:rFonts w:ascii="Arial" w:cs="Arial" w:eastAsia="Arial" w:hAnsi="Arial"/>
          <w:b/>
          <w:bCs/>
          <w:sz w:val="32"/>
          <w:szCs w:val="32"/>
        </w:rPr>
        <w:t xml:space="preserve">Significance</w:t>
      </w:r>
    </w:p>
    <w:p>
      <w:pPr>
        <w:spacing w:after="120"/>
      </w:pPr>
      <w:r>
        <w:rPr>
          <w:rFonts w:ascii="Arial" w:cs="Arial" w:eastAsia="Arial" w:hAnsi="Arial"/>
          <w:color w:val="333333"/>
          <w:sz w:val="22"/>
          <w:szCs w:val="22"/>
        </w:rPr>
        <w:t xml:space="preserve">This experiment answers “what exactly about prescribed structure works?” The answer: the structure itself — the fact that it is defined before training and frozen during training. Not the method used to define it, not the granularity of assignments. This is the purest test of the prescribed axes hypothesis: it’s not about choosing the right axes, it’s about having axes at all.</w:t>
      </w:r>
    </w:p>
    <w:p>
      <w:pPr>
        <w:spacing w:after="120"/>
      </w:pPr>
      <w:r>
        <w:rPr>
          <w:rFonts w:ascii="Arial" w:cs="Arial" w:eastAsia="Arial" w:hAnsi="Arial"/>
          <w:color w:val="333333"/>
          <w:sz w:val="22"/>
          <w:szCs w:val="22"/>
        </w:rPr>
        <w:t xml:space="preserve">Reference: Based on Ioannides, C. et al. (2026). Self-Supervised Speech Representations with Grounded JEPA.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2026-04-09T22:55:32.010Z</dcterms:created>
  <dcterms:modified xsi:type="dcterms:W3CDTF">2026-04-09T22:55:32.010Z</dcterms:modified>
</cp:coreProperties>
</file>

<file path=docProps/custom.xml><?xml version="1.0" encoding="utf-8"?>
<Properties xmlns="http://schemas.openxmlformats.org/officeDocument/2006/custom-properties" xmlns:vt="http://schemas.openxmlformats.org/officeDocument/2006/docPropsVTypes"/>
</file>