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  <w:lang w:bidi="bn-IN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  <w:lang w:bidi="bn-IN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  <w:lang w:bidi="bn-IN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মোংলা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বন্দর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কর্তৃপক্ষ</w:t>
      </w:r>
      <w:proofErr w:type="spellEnd"/>
    </w:p>
    <w:p w:rsidR="007A4D88" w:rsidRDefault="00BD79A2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মোংলা</w:t>
      </w:r>
      <w:proofErr w:type="spellEnd"/>
      <w:r>
        <w:rPr>
          <w:rFonts w:ascii="Nikosh" w:hAnsi="Nikosh" w:cs="Nikosh"/>
          <w:sz w:val="32"/>
          <w:szCs w:val="32"/>
        </w:rPr>
        <w:t xml:space="preserve">,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বাগেরহাট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বিভাগঃ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ট্রাফিক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                                                             </w:t>
      </w:r>
      <w:r>
        <w:rPr>
          <w:rFonts w:ascii="Nikosh" w:hAnsi="Nikosh" w:cs="Nikosh"/>
          <w:sz w:val="32"/>
          <w:szCs w:val="32"/>
          <w:lang w:bidi="bn-IN"/>
        </w:rPr>
        <w:tab/>
        <w:t xml:space="preserve">        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তারিখ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</w:t>
      </w:r>
      <w:r w:rsidR="00A378D1">
        <w:rPr>
          <w:rFonts w:ascii="Nikosh" w:hAnsi="Nikosh" w:cs="Nikosh"/>
          <w:sz w:val="32"/>
          <w:szCs w:val="32"/>
          <w:lang w:bidi="bn-IN"/>
        </w:rPr>
        <w:t>২৭</w:t>
      </w:r>
      <w:r>
        <w:rPr>
          <w:rFonts w:ascii="Nikosh" w:hAnsi="Nikosh" w:cs="Nikosh"/>
          <w:sz w:val="32"/>
          <w:szCs w:val="32"/>
          <w:lang w:bidi="bn-IN"/>
        </w:rPr>
        <w:t>/০</w:t>
      </w:r>
      <w:r w:rsidR="00A378D1">
        <w:rPr>
          <w:rFonts w:ascii="Nikosh" w:hAnsi="Nikosh" w:cs="Nikosh"/>
          <w:sz w:val="32"/>
          <w:szCs w:val="32"/>
          <w:lang w:bidi="bn-IN"/>
        </w:rPr>
        <w:t>৮</w:t>
      </w:r>
      <w:r>
        <w:rPr>
          <w:rFonts w:ascii="Nikosh" w:hAnsi="Nikosh" w:cs="Nikosh"/>
          <w:sz w:val="32"/>
          <w:szCs w:val="32"/>
          <w:lang w:bidi="bn-IN"/>
        </w:rPr>
        <w:t xml:space="preserve">/২০২৪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ইং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শাখাঃ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রাজস্ব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ও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রিটার্ণ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        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  <w:u w:val="single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বিষয়ঃ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রাজস্ব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ও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রিটার্ণ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শাখায়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ব্যবহারের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জন্য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ষ্টেশনারী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মালামালের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চাহিদা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tbl>
      <w:tblPr>
        <w:tblW w:w="9801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577"/>
        <w:gridCol w:w="3130"/>
        <w:gridCol w:w="1261"/>
        <w:gridCol w:w="899"/>
        <w:gridCol w:w="1384"/>
        <w:gridCol w:w="1728"/>
        <w:gridCol w:w="822"/>
      </w:tblGrid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ক্রঃ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নং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মালামালের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বিবরণ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পরিমাণ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বর্তমান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মজুদ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উদ্দেশ্য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সরবরাহের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পরিমাণ</w:t>
            </w:r>
            <w:proofErr w:type="spellEnd"/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BD79A2">
            <w:pPr>
              <w:tabs>
                <w:tab w:val="center" w:pos="7200"/>
              </w:tabs>
              <w:spacing w:after="0" w:line="24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মন্তব্য</w:t>
            </w:r>
            <w:proofErr w:type="spellEnd"/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০১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bidi="bn-IN"/>
              </w:rPr>
            </w:pPr>
            <w:r w:rsidRPr="00BD79A2">
              <w:rPr>
                <w:rFonts w:ascii="Times New Roman" w:hAnsi="Times New Roman" w:cs="Times New Roman"/>
                <w:sz w:val="28"/>
                <w:szCs w:val="28"/>
              </w:rPr>
              <w:t xml:space="preserve">A4 </w:t>
            </w:r>
            <w:r w:rsidRPr="00BD79A2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Paper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817537" w:rsidP="00A378D1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>২</w:t>
            </w:r>
            <w:r w:rsidR="00A378D1">
              <w:rPr>
                <w:rFonts w:ascii="Nikosh" w:hAnsi="Nikosh" w:cs="Nikosh"/>
                <w:sz w:val="28"/>
                <w:szCs w:val="28"/>
                <w:lang w:bidi="bn-IN"/>
              </w:rPr>
              <w:t>০</w:t>
            </w:r>
            <w:r w:rsidR="00BD79A2" w:rsidRPr="00BD79A2"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 w:rsidR="00BD79A2" w:rsidRPr="00BD79A2">
              <w:rPr>
                <w:rFonts w:ascii="Nikosh" w:hAnsi="Nikosh" w:cs="Nikosh"/>
                <w:sz w:val="28"/>
                <w:szCs w:val="28"/>
                <w:lang w:bidi="bn-IN"/>
              </w:rPr>
              <w:t>প্যাকেট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নাই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দাপ্তরিক</w:t>
            </w:r>
            <w:proofErr w:type="spellEnd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কাজ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০২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bidi="bn-IN"/>
              </w:rPr>
            </w:pPr>
            <w:r w:rsidRPr="00BD79A2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Canon LBP-6780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 w:rsidP="00A378D1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>০</w:t>
            </w:r>
            <w:r w:rsidR="00A378D1">
              <w:rPr>
                <w:rFonts w:ascii="Nikosh" w:hAnsi="Nikosh" w:cs="Nikosh"/>
                <w:sz w:val="28"/>
                <w:szCs w:val="28"/>
                <w:lang w:bidi="bn-IN"/>
              </w:rPr>
              <w:t>২</w:t>
            </w:r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ইউনিট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নাই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দাপ্তরিক</w:t>
            </w:r>
            <w:proofErr w:type="spellEnd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কাজ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  <w:r w:rsidRPr="00BD79A2"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D79A2">
              <w:rPr>
                <w:rFonts w:ascii="Times New Roman" w:hAnsi="Times New Roman" w:cs="Times New Roman"/>
                <w:sz w:val="28"/>
                <w:szCs w:val="28"/>
              </w:rPr>
              <w:t>Canon LBP-6230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817537" w:rsidP="00A375D7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>০</w:t>
            </w:r>
            <w:r w:rsidR="00A375D7">
              <w:rPr>
                <w:rFonts w:ascii="Nikosh" w:hAnsi="Nikosh" w:cs="Nikosh"/>
                <w:sz w:val="28"/>
                <w:szCs w:val="28"/>
                <w:lang w:bidi="bn-IN"/>
              </w:rPr>
              <w:t>১</w:t>
            </w:r>
            <w:r w:rsidR="00BD79A2"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 w:rsidR="00BD79A2">
              <w:rPr>
                <w:rFonts w:ascii="Nikosh" w:hAnsi="Nikosh" w:cs="Nikosh"/>
                <w:sz w:val="28"/>
                <w:szCs w:val="28"/>
                <w:lang w:bidi="bn-IN"/>
              </w:rPr>
              <w:t>ইউনিট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নাই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BD79A2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দাপ্তরিক</w:t>
            </w:r>
            <w:proofErr w:type="spellEnd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D79A2">
              <w:rPr>
                <w:rFonts w:ascii="Nikosh" w:hAnsi="Nikosh" w:cs="Nikosh"/>
                <w:sz w:val="28"/>
                <w:szCs w:val="28"/>
                <w:lang w:bidi="bn-IN"/>
              </w:rPr>
              <w:t>কাজ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BD79A2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নোটশীট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০২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নাই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দাপ্তরিক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কাজ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০৫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ফাইল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বোর্ড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১৫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নাই</w:t>
            </w:r>
            <w:proofErr w:type="spellEnd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দাপ্তরিক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কাজ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০৬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ফাইল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কভার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১৫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নাই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A378D1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দাপ্তরিক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কাজ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77C57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০৭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77C57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পাঞ্চ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মেশিন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ছোট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>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77C57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০১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77C57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নাই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77C57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দাপ্তরিক</w:t>
            </w:r>
            <w:proofErr w:type="spellEnd"/>
            <w:r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lang w:bidi="bn-IN"/>
              </w:rPr>
              <w:t>কাজ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A4D88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  <w:lang w:bidi="bn-I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36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D88" w:rsidRPr="00A378D1" w:rsidRDefault="007A4D88">
            <w:pPr>
              <w:tabs>
                <w:tab w:val="center" w:pos="7200"/>
              </w:tabs>
              <w:spacing w:after="0" w:line="240" w:lineRule="auto"/>
              <w:contextualSpacing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টি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আই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রাজস্ব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)                            </w:t>
      </w:r>
      <w:r>
        <w:rPr>
          <w:rFonts w:ascii="Nikosh" w:hAnsi="Nikosh" w:cs="Nikosh"/>
          <w:sz w:val="28"/>
          <w:szCs w:val="28"/>
          <w:lang w:bidi="bn-IN"/>
        </w:rPr>
        <w:tab/>
        <w:t xml:space="preserve">     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টিও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ডকু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  <w:lang w:bidi="bn-IN"/>
        </w:rPr>
        <w:t>রাজস্ব</w:t>
      </w:r>
      <w:proofErr w:type="spellEnd"/>
      <w:r>
        <w:rPr>
          <w:rFonts w:ascii="Nikosh" w:hAnsi="Nikosh" w:cs="Nikosh"/>
          <w:sz w:val="28"/>
          <w:szCs w:val="28"/>
          <w:lang w:bidi="bn-IN"/>
        </w:rPr>
        <w:t xml:space="preserve">)                              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মোংলা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বন্দর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কর্তৃপক্ষ</w:t>
      </w:r>
      <w:proofErr w:type="spellEnd"/>
    </w:p>
    <w:p w:rsidR="007A4D88" w:rsidRDefault="00BD79A2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মোংলা</w:t>
      </w:r>
      <w:proofErr w:type="spellEnd"/>
      <w:r>
        <w:rPr>
          <w:rFonts w:ascii="Nikosh" w:hAnsi="Nikosh" w:cs="Nikosh"/>
          <w:sz w:val="32"/>
          <w:szCs w:val="32"/>
        </w:rPr>
        <w:t xml:space="preserve">,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বাগেরহাট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jc w:val="center"/>
        <w:rPr>
          <w:rFonts w:ascii="Nikosh" w:hAnsi="Nikosh" w:cs="Nikosh"/>
          <w:sz w:val="32"/>
          <w:szCs w:val="32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বিভাগঃ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ট্রাফিক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                                                             </w:t>
      </w:r>
      <w:r>
        <w:rPr>
          <w:rFonts w:ascii="Nikosh" w:hAnsi="Nikosh" w:cs="Nikosh"/>
          <w:sz w:val="32"/>
          <w:szCs w:val="32"/>
          <w:lang w:bidi="bn-IN"/>
        </w:rPr>
        <w:tab/>
        <w:t xml:space="preserve">        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তারিখ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০৩/০৪/২০২৪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ইং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শাখাঃ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রাজস্ব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ও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রিটার্ন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শাখা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  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proofErr w:type="spellStart"/>
      <w:r>
        <w:rPr>
          <w:rFonts w:ascii="Nikosh" w:hAnsi="Nikosh" w:cs="Nikosh"/>
          <w:sz w:val="32"/>
          <w:szCs w:val="32"/>
          <w:lang w:bidi="bn-IN"/>
        </w:rPr>
        <w:t>সম্ভাব্য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চাহিদা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অক্টোবর’২০২৪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পর্যন্ত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১। </w:t>
      </w:r>
      <w:r>
        <w:rPr>
          <w:rFonts w:ascii="Nimbus Roman" w:hAnsi="Nimbus Roman" w:cs="Nikosh"/>
          <w:sz w:val="28"/>
          <w:szCs w:val="28"/>
          <w:lang w:bidi="bn-IN"/>
        </w:rPr>
        <w:t>A4</w:t>
      </w:r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ডুাপ্লকেটিং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পেপার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১২০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প্যাকেট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২।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লিগাল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পেপার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১০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প্যাকেট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৩।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বলপেন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৩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ডজন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৪।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পেন্সিল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- ৬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৫।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হাজিরা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খাতা-১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৬।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রেজিস্টার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খাতা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২০০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পাতা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৬টি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৭।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স্ট্যাপলার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মেশিন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১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৮।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স্ট্যাপলার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পিন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৩০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প্যাকেট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৯।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ক্যানোন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(</w:t>
      </w:r>
      <w:r>
        <w:rPr>
          <w:rFonts w:ascii="Nimbus Roman" w:hAnsi="Nimbus Roman" w:cs="Nikosh"/>
          <w:sz w:val="28"/>
          <w:szCs w:val="28"/>
          <w:lang w:bidi="bn-IN"/>
        </w:rPr>
        <w:t>LBP6230dn</w:t>
      </w:r>
      <w:r>
        <w:rPr>
          <w:rFonts w:ascii="Nikosh" w:hAnsi="Nikosh" w:cs="Nikosh"/>
          <w:sz w:val="32"/>
          <w:szCs w:val="32"/>
          <w:lang w:bidi="bn-IN"/>
        </w:rPr>
        <w:t xml:space="preserve">)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টোনার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০৬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১০।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ক্যানোন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(</w:t>
      </w:r>
      <w:r>
        <w:rPr>
          <w:rFonts w:ascii="Nimbus Roman" w:hAnsi="Nimbus Roman" w:cs="Nikosh"/>
          <w:sz w:val="28"/>
          <w:szCs w:val="28"/>
          <w:lang w:bidi="bn-IN"/>
        </w:rPr>
        <w:t>LBP6780</w:t>
      </w:r>
      <w:r>
        <w:rPr>
          <w:rFonts w:ascii="Nikosh" w:hAnsi="Nikosh" w:cs="Nikosh"/>
          <w:sz w:val="32"/>
          <w:szCs w:val="32"/>
          <w:lang w:bidi="bn-IN"/>
        </w:rPr>
        <w:t xml:space="preserve">)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টোনার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১৮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১১।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হারপিক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০৪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১২।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ঝাড়ু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২ ‍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১৩।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ফিনাইল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ক্যান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১৪।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ভোমর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২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১৫।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ফাইল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বোর্ড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৪০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। 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১৬।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ফাইল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কভার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৪০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।  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১৭।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নোট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শীট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৩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  <w:lang w:bidi="bn-IN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১৮।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পেন্সিল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কাটার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২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2"/>
          <w:szCs w:val="32"/>
        </w:rPr>
      </w:pPr>
      <w:r>
        <w:rPr>
          <w:rFonts w:ascii="Nikosh" w:hAnsi="Nikosh" w:cs="Nikosh"/>
          <w:sz w:val="32"/>
          <w:szCs w:val="32"/>
          <w:lang w:bidi="bn-IN"/>
        </w:rPr>
        <w:t xml:space="preserve">১৯।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ইরেজার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 xml:space="preserve"> – ৪ </w:t>
      </w:r>
      <w:proofErr w:type="spellStart"/>
      <w:r>
        <w:rPr>
          <w:rFonts w:ascii="Nikosh" w:hAnsi="Nikosh" w:cs="Nikosh"/>
          <w:sz w:val="32"/>
          <w:szCs w:val="32"/>
          <w:lang w:bidi="bn-IN"/>
        </w:rPr>
        <w:t>টি</w:t>
      </w:r>
      <w:proofErr w:type="spellEnd"/>
      <w:r>
        <w:rPr>
          <w:rFonts w:ascii="Nikosh" w:hAnsi="Nikosh" w:cs="Nikosh"/>
          <w:sz w:val="32"/>
          <w:szCs w:val="32"/>
          <w:lang w:bidi="bn-IN"/>
        </w:rPr>
        <w:t>।</w:t>
      </w: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Nirmala UI" w:hAnsi="Nirmala UI" w:cs="Nirmala UI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7A4D88">
      <w:pPr>
        <w:tabs>
          <w:tab w:val="center" w:pos="7200"/>
        </w:tabs>
        <w:spacing w:after="0" w:line="240" w:lineRule="auto"/>
        <w:contextualSpacing/>
        <w:rPr>
          <w:rFonts w:ascii="SutonnyMJ" w:hAnsi="SutonnyMJ" w:cs="SutonnyMJ"/>
          <w:sz w:val="28"/>
          <w:szCs w:val="28"/>
        </w:rPr>
      </w:pPr>
    </w:p>
    <w:p w:rsidR="007A4D88" w:rsidRDefault="00BD79A2">
      <w:pPr>
        <w:tabs>
          <w:tab w:val="center" w:pos="7200"/>
        </w:tabs>
        <w:spacing w:after="0" w:line="240" w:lineRule="auto"/>
        <w:contextualSpacing/>
        <w:rPr>
          <w:rFonts w:ascii="Nikosh" w:hAnsi="Nikosh" w:cs="Nikosh"/>
          <w:sz w:val="30"/>
          <w:szCs w:val="30"/>
          <w:lang w:bidi="bn-IN"/>
        </w:rPr>
      </w:pPr>
      <w:r>
        <w:rPr>
          <w:rFonts w:ascii="Nikosh" w:hAnsi="Nikosh" w:cs="Nikosh"/>
          <w:sz w:val="30"/>
          <w:szCs w:val="30"/>
          <w:lang w:bidi="bn-IN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টি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আই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 (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রাজস্ব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)                            </w:t>
      </w:r>
      <w:r>
        <w:rPr>
          <w:rFonts w:ascii="Nikosh" w:hAnsi="Nikosh" w:cs="Nikosh"/>
          <w:sz w:val="30"/>
          <w:szCs w:val="30"/>
          <w:lang w:bidi="bn-IN"/>
        </w:rPr>
        <w:tab/>
        <w:t xml:space="preserve">     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টিও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 (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ডকু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 ও </w:t>
      </w:r>
      <w:proofErr w:type="spellStart"/>
      <w:r>
        <w:rPr>
          <w:rFonts w:ascii="Nikosh" w:hAnsi="Nikosh" w:cs="Nikosh"/>
          <w:sz w:val="30"/>
          <w:szCs w:val="30"/>
          <w:lang w:bidi="bn-IN"/>
        </w:rPr>
        <w:t>রাজস্ব</w:t>
      </w:r>
      <w:proofErr w:type="spellEnd"/>
      <w:r>
        <w:rPr>
          <w:rFonts w:ascii="Nikosh" w:hAnsi="Nikosh" w:cs="Nikosh"/>
          <w:sz w:val="30"/>
          <w:szCs w:val="30"/>
          <w:lang w:bidi="bn-IN"/>
        </w:rPr>
        <w:t xml:space="preserve">)   </w:t>
      </w:r>
    </w:p>
    <w:sectPr w:rsidR="007A4D88">
      <w:pgSz w:w="11906" w:h="16838"/>
      <w:pgMar w:top="720" w:right="864" w:bottom="720" w:left="100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mbus Roman">
    <w:altName w:val="Times New Roman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7A4D88"/>
    <w:rsid w:val="00395CF6"/>
    <w:rsid w:val="005C1413"/>
    <w:rsid w:val="00777C57"/>
    <w:rsid w:val="007A4D88"/>
    <w:rsid w:val="00817537"/>
    <w:rsid w:val="00A375D7"/>
    <w:rsid w:val="00A378D1"/>
    <w:rsid w:val="00BA1F93"/>
    <w:rsid w:val="00B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1D7A0E-9E55-4929-877D-ED9E6C74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Container Bill</dc:creator>
  <dc:description/>
  <cp:lastModifiedBy>Revenue &amp; Return</cp:lastModifiedBy>
  <cp:revision>165</cp:revision>
  <cp:lastPrinted>2024-04-03T15:08:00Z</cp:lastPrinted>
  <dcterms:created xsi:type="dcterms:W3CDTF">2018-04-02T06:38:00Z</dcterms:created>
  <dcterms:modified xsi:type="dcterms:W3CDTF">2024-08-27T03:39:00Z</dcterms:modified>
  <dc:language>en-US</dc:language>
</cp:coreProperties>
</file>