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before="100" w:beforeAutospacing="1" w:after="100" w:afterAutospacing="1" w:line="360" w:lineRule="auto"/>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Windows Themes Remote Code Execution Vulnerability (CVE-2023-38146)</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hint="eastAsia" w:ascii="Calibri" w:hAnsi="Calibri" w:eastAsia="微软雅黑" w:cs="Calibri"/>
          <w:b/>
          <w:bCs/>
          <w:color w:val="000000"/>
          <w:sz w:val="52"/>
          <w:szCs w:val="52"/>
        </w:rPr>
        <w:t>Deep analysis report</w:t>
      </w:r>
    </w:p>
    <w:p>
      <w:pPr>
        <w:ind w:left="480" w:hanging="480"/>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b/>
          <w:sz w:val="28"/>
          <w:szCs w:val="28"/>
        </w:rPr>
      </w:pPr>
    </w:p>
    <w:p>
      <w:pPr>
        <w:spacing w:before="156" w:beforeLines="50"/>
        <w:jc w:val="center"/>
        <w:rPr>
          <w:rFonts w:hint="eastAsia" w:ascii="Calibri" w:hAnsi="Calibri" w:eastAsia="黑体" w:cstheme="majorBidi"/>
          <w:b/>
          <w:bCs/>
          <w:color w:val="000000" w:themeColor="text1"/>
          <w:sz w:val="32"/>
          <w:szCs w:val="32"/>
          <w:lang w:val="zh-CN"/>
        </w:rPr>
      </w:pPr>
    </w:p>
    <w:p>
      <w:pPr>
        <w:spacing w:before="156" w:beforeLines="50"/>
        <w:jc w:val="center"/>
        <w:rPr>
          <w:rFonts w:hint="eastAsia" w:ascii="Calibri" w:hAnsi="Calibri" w:eastAsia="黑体" w:cstheme="majorBidi"/>
          <w:b/>
          <w:bCs/>
          <w:color w:val="000000" w:themeColor="text1"/>
          <w:sz w:val="32"/>
          <w:szCs w:val="32"/>
          <w:lang w:val="zh-CN"/>
        </w:rPr>
      </w:pPr>
    </w:p>
    <w:p>
      <w:pPr>
        <w:spacing w:before="156" w:beforeLines="50"/>
        <w:jc w:val="center"/>
        <w:rPr>
          <w:rFonts w:hint="eastAsia" w:ascii="Calibri" w:hAnsi="Calibri" w:eastAsia="黑体" w:cstheme="majorBidi"/>
          <w:b/>
          <w:bCs/>
          <w:color w:val="000000" w:themeColor="text1"/>
          <w:sz w:val="32"/>
          <w:szCs w:val="32"/>
          <w:lang w:val="zh-CN"/>
        </w:rPr>
      </w:pPr>
    </w:p>
    <w:p>
      <w:pPr>
        <w:spacing w:before="156" w:beforeLines="50"/>
        <w:jc w:val="center"/>
        <w:rPr>
          <w:rFonts w:hint="eastAsia" w:ascii="Calibri" w:hAnsi="Calibri" w:eastAsia="黑体" w:cstheme="majorBidi"/>
          <w:b/>
          <w:bCs/>
          <w:color w:val="000000" w:themeColor="text1"/>
          <w:sz w:val="32"/>
          <w:szCs w:val="32"/>
          <w:lang w:val="zh-CN"/>
        </w:rPr>
      </w:pPr>
    </w:p>
    <w:p>
      <w:pPr>
        <w:spacing w:before="156" w:beforeLines="50"/>
        <w:jc w:val="center"/>
        <w:rPr>
          <w:rFonts w:hint="eastAsia" w:ascii="Calibri" w:hAnsi="Calibri" w:eastAsia="黑体" w:cstheme="majorBidi"/>
          <w:b/>
          <w:bCs/>
          <w:color w:val="000000" w:themeColor="text1"/>
          <w:sz w:val="32"/>
          <w:szCs w:val="32"/>
          <w:lang w:val="zh-CN"/>
        </w:rPr>
      </w:pPr>
    </w:p>
    <w:p>
      <w:pPr>
        <w:spacing w:before="156" w:beforeLines="50"/>
        <w:jc w:val="center"/>
        <w:rPr>
          <w:rFonts w:hint="eastAsia" w:ascii="Calibri" w:hAnsi="Calibri" w:eastAsia="黑体" w:cstheme="majorBidi"/>
          <w:b/>
          <w:bCs/>
          <w:color w:val="000000" w:themeColor="text1"/>
          <w:sz w:val="32"/>
          <w:szCs w:val="32"/>
          <w:lang w:val="zh-CN"/>
        </w:rPr>
      </w:pPr>
    </w:p>
    <w:p>
      <w:pPr>
        <w:spacing w:before="156" w:beforeLines="50"/>
        <w:jc w:val="center"/>
        <w:rPr>
          <w:rFonts w:hint="eastAsia" w:ascii="Calibri" w:hAnsi="Calibri" w:eastAsia="黑体" w:cstheme="majorBidi"/>
          <w:b/>
          <w:bCs/>
          <w:color w:val="000000" w:themeColor="text1"/>
          <w:sz w:val="32"/>
          <w:szCs w:val="32"/>
          <w:lang w:val="zh-CN"/>
        </w:rPr>
      </w:pPr>
    </w:p>
    <w:p>
      <w:pPr>
        <w:jc w:val="center"/>
        <w:rPr>
          <w:rFonts w:ascii="Calibri" w:hAnsi="Calibri" w:eastAsia="黑体" w:cstheme="majorBidi"/>
          <w:b/>
          <w:bCs/>
          <w:color w:val="000000" w:themeColor="text1"/>
          <w:sz w:val="32"/>
          <w:szCs w:val="32"/>
          <w:lang w:val="zh-CN"/>
        </w:rPr>
      </w:pPr>
      <w:r>
        <w:rPr>
          <w:rFonts w:hint="eastAsia" w:ascii="Calibri" w:hAnsi="Calibri" w:eastAsia="黑体" w:cstheme="majorBidi"/>
          <w:b/>
          <w:bCs/>
          <w:color w:val="000000" w:themeColor="text1"/>
          <w:sz w:val="32"/>
          <w:szCs w:val="32"/>
          <w:lang w:val="en-US" w:eastAsia="zh-CN"/>
        </w:rPr>
        <w:t>C</w:t>
      </w:r>
      <w:r>
        <w:rPr>
          <w:rFonts w:hint="eastAsia" w:ascii="Calibri" w:hAnsi="Calibri" w:eastAsia="黑体" w:cstheme="majorBidi"/>
          <w:b/>
          <w:bCs/>
          <w:color w:val="000000" w:themeColor="text1"/>
          <w:sz w:val="32"/>
          <w:szCs w:val="32"/>
          <w:lang w:val="zh-CN"/>
        </w:rPr>
        <w:t>atalogue</w:t>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w:instrText>
      </w:r>
      <w:r>
        <w:rPr>
          <w:rFonts w:hint="eastAsia"/>
        </w:rPr>
        <w:instrText xml:space="preserve">TOC \h \z \t "一级标题,1,二级标题,2"</w:instrText>
      </w:r>
      <w:r>
        <w:instrText xml:space="preserve"> </w:instrText>
      </w:r>
      <w:r>
        <w:fldChar w:fldCharType="separate"/>
      </w:r>
      <w:r>
        <w:fldChar w:fldCharType="begin"/>
      </w:r>
      <w:r>
        <w:instrText xml:space="preserve"> HYPERLINK \l "_Toc146125689" </w:instrText>
      </w:r>
      <w:r>
        <w:fldChar w:fldCharType="separate"/>
      </w:r>
      <w:r>
        <w:rPr>
          <w:rStyle w:val="17"/>
          <w:rFonts w:ascii="Calibri" w:hAnsi="Calibri" w:eastAsia="黑体"/>
        </w:rPr>
        <w:t xml:space="preserve">1. </w:t>
      </w:r>
      <w:r>
        <w:rPr>
          <w:rStyle w:val="17"/>
          <w:rFonts w:hint="eastAsia" w:ascii="Calibri" w:hAnsi="Calibri" w:eastAsia="黑体"/>
          <w:lang w:val="en-US" w:eastAsia="zh-CN"/>
        </w:rPr>
        <w:t>Basic</w:t>
      </w:r>
      <w:r>
        <w:rPr>
          <w:rStyle w:val="17"/>
          <w:rFonts w:ascii="Calibri" w:hAnsi="Calibri" w:eastAsia="黑体"/>
        </w:rPr>
        <w:t xml:space="preserve"> information</w:t>
      </w:r>
      <w:r>
        <w:tab/>
      </w:r>
      <w:r>
        <w:fldChar w:fldCharType="begin"/>
      </w:r>
      <w:r>
        <w:instrText xml:space="preserve"> PAGEREF _Toc146125689 \h </w:instrText>
      </w:r>
      <w:r>
        <w:fldChar w:fldCharType="separate"/>
      </w:r>
      <w:r>
        <w:t>1</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"_Toc146125690" </w:instrText>
      </w:r>
      <w:r>
        <w:fldChar w:fldCharType="separate"/>
      </w:r>
      <w:r>
        <w:rPr>
          <w:rStyle w:val="17"/>
          <w:rFonts w:ascii="Calibri" w:hAnsi="Calibri" w:eastAsia="黑体"/>
        </w:rPr>
        <w:t>2. Threat assessment</w:t>
      </w:r>
      <w:r>
        <w:tab/>
      </w:r>
      <w:r>
        <w:fldChar w:fldCharType="begin"/>
      </w:r>
      <w:r>
        <w:instrText xml:space="preserve"> PAGEREF _Toc146125690 \h </w:instrText>
      </w:r>
      <w:r>
        <w:fldChar w:fldCharType="separate"/>
      </w:r>
      <w:r>
        <w:t>1</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"_Toc146125691" </w:instrText>
      </w:r>
      <w:r>
        <w:fldChar w:fldCharType="separate"/>
      </w:r>
      <w:r>
        <w:rPr>
          <w:rStyle w:val="17"/>
          <w:rFonts w:ascii="Calibri" w:hAnsi="Calibri" w:eastAsia="黑体"/>
        </w:rPr>
        <w:t>3. The security status of the affected assets</w:t>
      </w:r>
      <w:r>
        <w:tab/>
      </w:r>
      <w:r>
        <w:fldChar w:fldCharType="begin"/>
      </w:r>
      <w:r>
        <w:instrText xml:space="preserve"> PAGEREF _Toc146125691 \h </w:instrText>
      </w:r>
      <w:r>
        <w:fldChar w:fldCharType="separate"/>
      </w:r>
      <w:r>
        <w:t>2</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"_Toc146125692" </w:instrText>
      </w:r>
      <w:r>
        <w:fldChar w:fldCharType="separate"/>
      </w:r>
      <w:r>
        <w:rPr>
          <w:rStyle w:val="17"/>
          <w:rFonts w:ascii="Calibri" w:hAnsi="Calibri" w:eastAsia="黑体"/>
        </w:rPr>
        <w:t>4. Disposal advice</w:t>
      </w:r>
      <w:r>
        <w:tab/>
      </w:r>
      <w:r>
        <w:fldChar w:fldCharType="begin"/>
      </w:r>
      <w:r>
        <w:instrText xml:space="preserve"> PAGEREF _Toc146125692 \h </w:instrText>
      </w:r>
      <w:r>
        <w:fldChar w:fldCharType="separate"/>
      </w:r>
      <w:r>
        <w:t>2</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"_Toc146125693" </w:instrText>
      </w:r>
      <w:r>
        <w:fldChar w:fldCharType="separate"/>
      </w:r>
      <w:r>
        <w:rPr>
          <w:rStyle w:val="17"/>
          <w:rFonts w:ascii="Calibri" w:hAnsi="Calibri" w:eastAsia="黑体"/>
        </w:rPr>
        <w:t>5. The full utilization process</w:t>
      </w:r>
      <w:r>
        <w:tab/>
      </w:r>
      <w:r>
        <w:fldChar w:fldCharType="begin"/>
      </w:r>
      <w:r>
        <w:instrText xml:space="preserve"> PAGEREF _Toc146125693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"_Toc146125694" </w:instrText>
      </w:r>
      <w:r>
        <w:fldChar w:fldCharType="separate"/>
      </w:r>
      <w:r>
        <w:rPr>
          <w:rFonts w:hint="eastAsia"/>
          <w:lang w:val="en-US" w:eastAsia="zh-CN"/>
        </w:rPr>
        <w:t>6</w:t>
      </w:r>
      <w:r>
        <w:rPr>
          <w:rStyle w:val="17"/>
          <w:rFonts w:ascii="Calibri" w:hAnsi="Calibri" w:eastAsia="黑体"/>
        </w:rPr>
        <w:t>. Use of monitoring and protection</w:t>
      </w:r>
      <w:r>
        <w:tab/>
      </w:r>
      <w:r>
        <w:fldChar w:fldCharType="begin"/>
      </w:r>
      <w:r>
        <w:instrText xml:space="preserve"> PAGEREF _Toc146125694 \h </w:instrText>
      </w:r>
      <w:r>
        <w:fldChar w:fldCharType="separate"/>
      </w:r>
      <w:r>
        <w:t>6</w:t>
      </w:r>
      <w:r>
        <w:fldChar w:fldCharType="end"/>
      </w:r>
      <w:r>
        <w:fldChar w:fldCharType="end"/>
      </w:r>
    </w:p>
    <w:p>
      <w:pPr>
        <w:spacing w:line="480" w:lineRule="auto"/>
        <w:ind w:left="480" w:hanging="480"/>
        <w:rPr>
          <w:rFonts w:ascii="Calibri" w:hAnsi="Calibri" w:eastAsia="微软雅黑"/>
        </w:rPr>
      </w:pPr>
      <w:r>
        <w:fldChar w:fldCharType="end"/>
      </w: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ind w:hanging="480"/>
        <w:rPr>
          <w:rFonts w:ascii="Calibri" w:hAnsi="Calibri" w:eastAsia="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1"/>
        <w:spacing w:before="156" w:beforeLines="50" w:after="156" w:afterLines="50"/>
        <w:outlineLvl w:val="0"/>
        <w:rPr>
          <w:rFonts w:ascii="Calibri" w:hAnsi="Calibri" w:eastAsia="黑体"/>
          <w:sz w:val="32"/>
          <w:szCs w:val="32"/>
        </w:rPr>
      </w:pPr>
      <w:bookmarkStart w:id="0" w:name="_Toc146125689"/>
      <w:r>
        <w:rPr>
          <w:rFonts w:hint="eastAsia" w:ascii="Calibri" w:hAnsi="Calibri" w:eastAsia="黑体"/>
          <w:sz w:val="32"/>
          <w:szCs w:val="32"/>
        </w:rPr>
        <w:t>1.</w:t>
      </w:r>
      <w:r>
        <w:rPr>
          <w:rFonts w:hint="eastAsia" w:ascii="Calibri" w:hAnsi="Calibri" w:eastAsia="黑体"/>
          <w:sz w:val="32"/>
          <w:szCs w:val="32"/>
          <w:lang w:val="en-US" w:eastAsia="zh-CN"/>
        </w:rPr>
        <w:t>Basic</w:t>
      </w:r>
      <w:r>
        <w:rPr>
          <w:rFonts w:hint="eastAsia" w:ascii="Calibri" w:hAnsi="Calibri" w:eastAsia="黑体"/>
          <w:sz w:val="32"/>
          <w:szCs w:val="32"/>
        </w:rPr>
        <w:t xml:space="preserve"> information</w:t>
      </w:r>
      <w:bookmarkEnd w:id="0"/>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400"/>
        <w:gridCol w:w="1892"/>
        <w:gridCol w:w="2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snapToGrid w:val="0"/>
              <w:jc w:val="both"/>
              <w:rPr>
                <w:b/>
                <w:sz w:val="21"/>
                <w:szCs w:val="21"/>
                <w:lang w:eastAsia="zh-Hans"/>
              </w:rPr>
            </w:pPr>
            <w:r>
              <w:rPr>
                <w:rFonts w:hint="eastAsia" w:ascii="Calibri" w:hAnsi="Calibri"/>
                <w:b/>
                <w:sz w:val="21"/>
                <w:szCs w:val="21"/>
                <w:lang w:eastAsia="zh-Hans"/>
              </w:rPr>
              <w:t>Vulnerability name</w:t>
            </w:r>
          </w:p>
        </w:tc>
        <w:tc>
          <w:tcPr>
            <w:tcW w:w="4104" w:type="pct"/>
            <w:gridSpan w:val="3"/>
            <w:vAlign w:val="center"/>
          </w:tcPr>
          <w:p>
            <w:pPr>
              <w:snapToGrid w:val="0"/>
              <w:jc w:val="both"/>
              <w:rPr>
                <w:rFonts w:ascii="Calibri" w:hAnsi="Calibri" w:cs="Calibri"/>
                <w:b/>
                <w:sz w:val="21"/>
                <w:szCs w:val="21"/>
              </w:rPr>
            </w:pPr>
            <w:r>
              <w:rPr>
                <w:rFonts w:ascii="Calibri" w:hAnsi="Calibri" w:cs="Calibri"/>
                <w:sz w:val="21"/>
                <w:szCs w:val="21"/>
              </w:rPr>
              <w:t>Windows Themes Remote code execution vulnerability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snapToGrid w:val="0"/>
              <w:jc w:val="both"/>
              <w:rPr>
                <w:b/>
                <w:sz w:val="21"/>
                <w:szCs w:val="21"/>
              </w:rPr>
            </w:pPr>
            <w:r>
              <w:rPr>
                <w:rFonts w:hint="eastAsia" w:ascii="Calibri" w:hAnsi="Calibri"/>
                <w:b/>
                <w:sz w:val="21"/>
                <w:szCs w:val="21"/>
              </w:rPr>
              <w:t>Open time</w:t>
            </w:r>
          </w:p>
        </w:tc>
        <w:tc>
          <w:tcPr>
            <w:tcW w:w="1408" w:type="pct"/>
            <w:vAlign w:val="center"/>
          </w:tcPr>
          <w:p>
            <w:pPr>
              <w:snapToGrid w:val="0"/>
              <w:jc w:val="both"/>
              <w:rPr>
                <w:rFonts w:cs="Calibri"/>
                <w:sz w:val="21"/>
                <w:szCs w:val="21"/>
              </w:rPr>
            </w:pPr>
            <w:r>
              <w:rPr>
                <w:rFonts w:ascii="Calibri" w:hAnsi="Calibri" w:cs="Calibri"/>
                <w:sz w:val="21"/>
                <w:szCs w:val="21"/>
              </w:rPr>
              <w:t>2023-09-13</w:t>
            </w:r>
          </w:p>
        </w:tc>
        <w:tc>
          <w:tcPr>
            <w:tcW w:w="1110" w:type="pct"/>
            <w:vAlign w:val="center"/>
          </w:tcPr>
          <w:p>
            <w:pPr>
              <w:snapToGrid w:val="0"/>
              <w:jc w:val="both"/>
              <w:rPr>
                <w:b/>
                <w:sz w:val="21"/>
                <w:szCs w:val="21"/>
                <w:lang w:eastAsia="zh-Hans"/>
              </w:rPr>
            </w:pPr>
            <w:r>
              <w:rPr>
                <w:rFonts w:hint="eastAsia" w:ascii="Calibri" w:hAnsi="Calibri"/>
                <w:b/>
                <w:sz w:val="21"/>
                <w:szCs w:val="21"/>
                <w:lang w:eastAsia="zh-Hans"/>
              </w:rPr>
              <w:t>refresh time</w:t>
            </w:r>
          </w:p>
        </w:tc>
        <w:tc>
          <w:tcPr>
            <w:tcW w:w="1585" w:type="pct"/>
            <w:vAlign w:val="center"/>
          </w:tcPr>
          <w:p>
            <w:pPr>
              <w:snapToGrid w:val="0"/>
              <w:jc w:val="both"/>
              <w:rPr>
                <w:sz w:val="21"/>
                <w:szCs w:val="21"/>
              </w:rPr>
            </w:pPr>
            <w:r>
              <w:rPr>
                <w:rFonts w:ascii="Calibri" w:hAnsi="Calibri" w:cs="Calibri"/>
                <w:sz w:val="21"/>
                <w:szCs w:val="21"/>
              </w:rPr>
              <w:t>2023-09-20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2695" w:type="pct"/>
          <w:trHeight w:val="567" w:hRule="atLeast"/>
        </w:trPr>
        <w:tc>
          <w:tcPr>
            <w:tcW w:w="895" w:type="pct"/>
            <w:vAlign w:val="center"/>
          </w:tcPr>
          <w:p>
            <w:pPr>
              <w:snapToGrid w:val="0"/>
              <w:jc w:val="both"/>
              <w:rPr>
                <w:b/>
                <w:sz w:val="21"/>
                <w:szCs w:val="21"/>
              </w:rPr>
            </w:pPr>
            <w:r>
              <w:rPr>
                <w:rFonts w:hint="eastAsia" w:ascii="Calibri" w:hAnsi="Calibri"/>
                <w:b/>
                <w:sz w:val="21"/>
                <w:szCs w:val="21"/>
              </w:rPr>
              <w:t>CVE number</w:t>
            </w:r>
          </w:p>
        </w:tc>
        <w:tc>
          <w:tcPr>
            <w:tcW w:w="1408" w:type="pct"/>
            <w:vAlign w:val="center"/>
          </w:tcPr>
          <w:p>
            <w:pPr>
              <w:snapToGrid w:val="0"/>
              <w:jc w:val="both"/>
              <w:rPr>
                <w:rFonts w:cs="Calibri"/>
                <w:sz w:val="21"/>
                <w:szCs w:val="21"/>
              </w:rPr>
            </w:pPr>
            <w:r>
              <w:rPr>
                <w:rFonts w:ascii="Calibri" w:hAnsi="Calibri" w:cs="Calibri"/>
                <w:sz w:val="21"/>
                <w:szCs w:val="21"/>
              </w:rPr>
              <w:t>CVE-2023-36900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snapToGrid w:val="0"/>
              <w:jc w:val="both"/>
              <w:rPr>
                <w:b/>
                <w:sz w:val="21"/>
                <w:szCs w:val="21"/>
              </w:rPr>
            </w:pPr>
            <w:r>
              <w:rPr>
                <w:rFonts w:hint="eastAsia" w:ascii="Calibri" w:hAnsi="Calibri"/>
                <w:b/>
                <w:sz w:val="21"/>
                <w:szCs w:val="21"/>
              </w:rPr>
              <w:t>Threat type</w:t>
            </w:r>
          </w:p>
        </w:tc>
        <w:tc>
          <w:tcPr>
            <w:tcW w:w="1408" w:type="pct"/>
            <w:vAlign w:val="center"/>
          </w:tcPr>
          <w:p>
            <w:pPr>
              <w:snapToGrid w:val="0"/>
              <w:jc w:val="both"/>
              <w:rPr>
                <w:rFonts w:eastAsia="PMingLiU"/>
                <w:sz w:val="21"/>
                <w:szCs w:val="21"/>
                <w:lang w:eastAsia="zh-TW"/>
              </w:rPr>
            </w:pPr>
            <w:r>
              <w:rPr>
                <w:rFonts w:hint="eastAsia" w:ascii="Calibri" w:hAnsi="Calibri"/>
                <w:sz w:val="21"/>
                <w:szCs w:val="21"/>
                <w:lang w:eastAsia="zh-TW"/>
              </w:rPr>
              <w:t>Code execution</w:t>
            </w:r>
          </w:p>
        </w:tc>
        <w:tc>
          <w:tcPr>
            <w:tcW w:w="1110" w:type="pct"/>
            <w:vAlign w:val="center"/>
          </w:tcPr>
          <w:p>
            <w:pPr>
              <w:snapToGrid w:val="0"/>
              <w:jc w:val="both"/>
              <w:rPr>
                <w:b/>
                <w:sz w:val="21"/>
                <w:szCs w:val="21"/>
              </w:rPr>
            </w:pPr>
            <w:r>
              <w:rPr>
                <w:rFonts w:hint="eastAsia" w:ascii="Calibri" w:hAnsi="Calibri"/>
                <w:b/>
                <w:sz w:val="21"/>
                <w:szCs w:val="21"/>
              </w:rPr>
              <w:t>Technology type</w:t>
            </w:r>
          </w:p>
        </w:tc>
        <w:tc>
          <w:tcPr>
            <w:tcW w:w="1585" w:type="pct"/>
            <w:vAlign w:val="center"/>
          </w:tcPr>
          <w:p>
            <w:pPr>
              <w:snapToGrid w:val="0"/>
              <w:jc w:val="both"/>
              <w:rPr>
                <w:rFonts w:eastAsia="PMingLiU"/>
                <w:sz w:val="21"/>
                <w:szCs w:val="21"/>
                <w:lang w:eastAsia="zh-TW"/>
              </w:rPr>
            </w:pPr>
            <w:r>
              <w:rPr>
                <w:rFonts w:hint="eastAsia" w:ascii="Calibri" w:hAnsi="Calibri"/>
                <w:sz w:val="21"/>
                <w:szCs w:val="21"/>
                <w:lang w:eastAsia="zh-TW"/>
              </w:rPr>
              <w:t>Improper data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shd w:val="clear" w:color="auto" w:fill="auto"/>
            <w:vAlign w:val="center"/>
          </w:tcPr>
          <w:p>
            <w:pPr>
              <w:rPr>
                <w:b/>
                <w:sz w:val="21"/>
                <w:szCs w:val="21"/>
              </w:rPr>
            </w:pPr>
            <w:r>
              <w:rPr>
                <w:rFonts w:hint="eastAsia" w:ascii="Calibri" w:hAnsi="Calibri"/>
                <w:b/>
                <w:sz w:val="21"/>
                <w:szCs w:val="21"/>
                <w:lang w:val="en-US" w:eastAsia="zh-CN"/>
              </w:rPr>
              <w:t>M</w:t>
            </w:r>
            <w:r>
              <w:rPr>
                <w:rFonts w:hint="eastAsia" w:ascii="Calibri" w:hAnsi="Calibri"/>
                <w:b/>
                <w:sz w:val="21"/>
                <w:szCs w:val="21"/>
              </w:rPr>
              <w:t>anufacturer</w:t>
            </w:r>
            <w:r>
              <w:rPr>
                <w:rFonts w:hint="eastAsia" w:ascii="Calibri" w:hAnsi="Calibri"/>
                <w:b/>
                <w:sz w:val="21"/>
                <w:szCs w:val="21"/>
                <w:lang w:val="en-US" w:eastAsia="zh-CN"/>
              </w:rPr>
              <w:t xml:space="preserve"> name</w:t>
            </w:r>
          </w:p>
        </w:tc>
        <w:tc>
          <w:tcPr>
            <w:tcW w:w="1408" w:type="pct"/>
            <w:shd w:val="clear" w:color="auto" w:fill="auto"/>
            <w:vAlign w:val="center"/>
          </w:tcPr>
          <w:p>
            <w:pPr>
              <w:snapToGrid w:val="0"/>
              <w:jc w:val="both"/>
              <w:rPr>
                <w:sz w:val="21"/>
                <w:szCs w:val="21"/>
                <w:lang w:eastAsia="zh-Hans"/>
              </w:rPr>
            </w:pPr>
            <w:r>
              <w:rPr>
                <w:rFonts w:ascii="Calibri" w:hAnsi="Calibri" w:cs="Calibri"/>
                <w:sz w:val="21"/>
                <w:szCs w:val="21"/>
              </w:rPr>
              <w:t>Microsoft</w:t>
            </w:r>
          </w:p>
        </w:tc>
        <w:tc>
          <w:tcPr>
            <w:tcW w:w="1110" w:type="pct"/>
            <w:shd w:val="clear" w:color="auto" w:fill="auto"/>
            <w:vAlign w:val="center"/>
          </w:tcPr>
          <w:p>
            <w:pPr>
              <w:rPr>
                <w:b/>
                <w:sz w:val="21"/>
                <w:szCs w:val="21"/>
              </w:rPr>
            </w:pPr>
            <w:r>
              <w:rPr>
                <w:rFonts w:hint="eastAsia" w:ascii="Calibri" w:hAnsi="Calibri"/>
                <w:b/>
                <w:sz w:val="21"/>
                <w:szCs w:val="21"/>
                <w:lang w:val="en-US" w:eastAsia="zh-CN"/>
              </w:rPr>
              <w:t>P</w:t>
            </w:r>
            <w:r>
              <w:rPr>
                <w:rFonts w:hint="eastAsia" w:ascii="Calibri" w:hAnsi="Calibri"/>
                <w:b/>
                <w:sz w:val="21"/>
                <w:szCs w:val="21"/>
              </w:rPr>
              <w:t>roduct</w:t>
            </w:r>
            <w:r>
              <w:rPr>
                <w:rFonts w:hint="eastAsia" w:ascii="Calibri" w:hAnsi="Calibri"/>
                <w:b/>
                <w:sz w:val="21"/>
                <w:szCs w:val="21"/>
                <w:lang w:val="en-US" w:eastAsia="zh-CN"/>
              </w:rPr>
              <w:t xml:space="preserve"> name</w:t>
            </w:r>
          </w:p>
        </w:tc>
        <w:tc>
          <w:tcPr>
            <w:tcW w:w="1585" w:type="pct"/>
            <w:shd w:val="clear" w:color="auto" w:fill="auto"/>
            <w:vAlign w:val="center"/>
          </w:tcPr>
          <w:p>
            <w:pPr>
              <w:snapToGrid w:val="0"/>
              <w:jc w:val="both"/>
              <w:rPr>
                <w:sz w:val="21"/>
                <w:szCs w:val="21"/>
              </w:rPr>
            </w:pPr>
            <w:r>
              <w:rPr>
                <w:rFonts w:ascii="Calibri" w:hAnsi="Calibri" w:cs="Calibri"/>
                <w:sz w:val="21"/>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0" w:type="pct"/>
            <w:gridSpan w:val="4"/>
            <w:vAlign w:val="center"/>
          </w:tcPr>
          <w:p>
            <w:pPr>
              <w:ind w:left="480" w:hanging="480"/>
              <w:jc w:val="center"/>
              <w:rPr>
                <w:b/>
                <w:sz w:val="21"/>
                <w:szCs w:val="21"/>
              </w:rPr>
            </w:pPr>
            <w:r>
              <w:rPr>
                <w:rFonts w:hint="eastAsia" w:ascii="Calibri" w:hAnsi="Calibri"/>
                <w:b/>
                <w:sz w:val="21"/>
                <w:szCs w:val="21"/>
              </w:rPr>
              <w:t>Real threat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ind w:left="19" w:hanging="19" w:hangingChars="9"/>
              <w:jc w:val="center"/>
              <w:rPr>
                <w:b/>
                <w:sz w:val="21"/>
                <w:szCs w:val="21"/>
              </w:rPr>
            </w:pPr>
            <w:r>
              <w:rPr>
                <w:rFonts w:hint="eastAsia" w:ascii="Calibri" w:hAnsi="Calibri"/>
                <w:b/>
                <w:sz w:val="21"/>
                <w:szCs w:val="21"/>
              </w:rPr>
              <w:t>POC state</w:t>
            </w:r>
          </w:p>
        </w:tc>
        <w:tc>
          <w:tcPr>
            <w:tcW w:w="1408" w:type="pct"/>
            <w:vAlign w:val="center"/>
          </w:tcPr>
          <w:p>
            <w:pPr>
              <w:ind w:left="480" w:hanging="480"/>
              <w:jc w:val="center"/>
              <w:rPr>
                <w:b/>
                <w:sz w:val="21"/>
                <w:szCs w:val="21"/>
              </w:rPr>
            </w:pPr>
            <w:r>
              <w:rPr>
                <w:rFonts w:hint="eastAsia" w:ascii="Calibri" w:hAnsi="Calibri"/>
                <w:b/>
                <w:sz w:val="21"/>
                <w:szCs w:val="21"/>
              </w:rPr>
              <w:t>EXP state</w:t>
            </w:r>
          </w:p>
        </w:tc>
        <w:tc>
          <w:tcPr>
            <w:tcW w:w="1110" w:type="pct"/>
            <w:vAlign w:val="center"/>
          </w:tcPr>
          <w:p>
            <w:pPr>
              <w:ind w:left="480" w:hanging="480"/>
              <w:jc w:val="center"/>
              <w:rPr>
                <w:b/>
                <w:sz w:val="21"/>
                <w:szCs w:val="21"/>
              </w:rPr>
            </w:pPr>
            <w:r>
              <w:rPr>
                <w:rFonts w:hint="eastAsia" w:ascii="Calibri" w:hAnsi="Calibri"/>
                <w:b/>
                <w:sz w:val="21"/>
                <w:szCs w:val="21"/>
              </w:rPr>
              <w:t>Use state in the field</w:t>
            </w:r>
          </w:p>
        </w:tc>
        <w:tc>
          <w:tcPr>
            <w:tcW w:w="1585" w:type="pct"/>
            <w:vAlign w:val="center"/>
          </w:tcPr>
          <w:p>
            <w:pPr>
              <w:ind w:left="480" w:hanging="480"/>
              <w:jc w:val="center"/>
              <w:rPr>
                <w:b/>
                <w:sz w:val="21"/>
                <w:szCs w:val="21"/>
              </w:rPr>
            </w:pPr>
            <w:r>
              <w:rPr>
                <w:rFonts w:hint="eastAsia" w:ascii="Calibri" w:hAnsi="Calibri"/>
                <w:b/>
                <w:sz w:val="21"/>
                <w:szCs w:val="21"/>
              </w:rPr>
              <w:t>Technical detail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ind w:left="19" w:hanging="19" w:hangingChars="9"/>
              <w:jc w:val="center"/>
              <w:rPr>
                <w:rFonts w:hint="default" w:eastAsia="宋体"/>
                <w:b/>
                <w:bCs/>
                <w:sz w:val="21"/>
                <w:szCs w:val="21"/>
                <w:lang w:val="en-US" w:eastAsia="zh-CN"/>
              </w:rPr>
            </w:pPr>
            <w:r>
              <w:rPr>
                <w:rFonts w:hint="eastAsia" w:ascii="Calibri" w:hAnsi="Calibri"/>
                <w:b/>
                <w:bCs/>
                <w:color w:val="FF0000"/>
                <w:sz w:val="21"/>
                <w:szCs w:val="21"/>
              </w:rPr>
              <w:t>public</w:t>
            </w:r>
            <w:r>
              <w:rPr>
                <w:rFonts w:hint="eastAsia" w:ascii="Calibri" w:hAnsi="Calibri"/>
                <w:b/>
                <w:bCs/>
                <w:color w:val="FF0000"/>
                <w:sz w:val="21"/>
                <w:szCs w:val="21"/>
                <w:lang w:val="en-US" w:eastAsia="zh-CN"/>
              </w:rPr>
              <w:t>ed</w:t>
            </w:r>
          </w:p>
        </w:tc>
        <w:tc>
          <w:tcPr>
            <w:tcW w:w="1408" w:type="pct"/>
            <w:vAlign w:val="center"/>
          </w:tcPr>
          <w:p>
            <w:pPr>
              <w:ind w:left="19" w:hanging="18" w:hangingChars="9"/>
              <w:jc w:val="center"/>
              <w:rPr>
                <w:color w:val="000000" w:themeColor="text1"/>
                <w:sz w:val="21"/>
                <w:szCs w:val="21"/>
                <w:lang w:eastAsia="zh-Hans"/>
              </w:rPr>
            </w:pPr>
            <w:r>
              <w:rPr>
                <w:rFonts w:hint="eastAsia" w:ascii="Calibri" w:hAnsi="Calibri"/>
                <w:color w:val="000000" w:themeColor="text1"/>
                <w:sz w:val="21"/>
                <w:szCs w:val="21"/>
              </w:rPr>
              <w:t>unknown</w:t>
            </w:r>
          </w:p>
        </w:tc>
        <w:tc>
          <w:tcPr>
            <w:tcW w:w="1110" w:type="pct"/>
            <w:vAlign w:val="center"/>
          </w:tcPr>
          <w:p>
            <w:pPr>
              <w:ind w:left="19" w:hanging="18" w:hangingChars="9"/>
              <w:jc w:val="center"/>
              <w:rPr>
                <w:color w:val="000000" w:themeColor="text1"/>
                <w:sz w:val="21"/>
                <w:szCs w:val="21"/>
                <w:lang w:eastAsia="zh-Hans"/>
              </w:rPr>
            </w:pPr>
            <w:r>
              <w:rPr>
                <w:rFonts w:hint="eastAsia" w:ascii="Calibri" w:hAnsi="Calibri"/>
                <w:color w:val="000000" w:themeColor="text1"/>
                <w:sz w:val="21"/>
                <w:szCs w:val="21"/>
              </w:rPr>
              <w:t>Nd</w:t>
            </w:r>
          </w:p>
        </w:tc>
        <w:tc>
          <w:tcPr>
            <w:tcW w:w="1585" w:type="pct"/>
            <w:vAlign w:val="center"/>
          </w:tcPr>
          <w:p>
            <w:pPr>
              <w:ind w:left="19" w:hanging="19" w:hangingChars="9"/>
              <w:jc w:val="center"/>
              <w:rPr>
                <w:b/>
                <w:sz w:val="21"/>
                <w:szCs w:val="21"/>
                <w:lang w:eastAsia="zh-Hans"/>
              </w:rPr>
            </w:pPr>
            <w:r>
              <w:rPr>
                <w:rFonts w:hint="eastAsia" w:ascii="Calibri" w:hAnsi="Calibri"/>
                <w:b/>
                <w:color w:val="FF0000"/>
                <w:sz w:val="21"/>
                <w:szCs w:val="21"/>
                <w:lang w:eastAsia="zh-Hans"/>
              </w:rPr>
              <w:t>public</w:t>
            </w:r>
            <w:r>
              <w:rPr>
                <w:rFonts w:hint="eastAsia" w:ascii="Calibri" w:hAnsi="Calibri"/>
                <w:b/>
                <w:color w:val="FF0000"/>
                <w:sz w:val="21"/>
                <w:szCs w:val="21"/>
                <w:lang w:val="en-US" w:eastAsia="zh-CN"/>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 xml:space="preserve"> Vulnerability description</w:t>
            </w:r>
          </w:p>
        </w:tc>
        <w:tc>
          <w:tcPr>
            <w:tcW w:w="4104" w:type="pct"/>
            <w:gridSpan w:val="3"/>
            <w:vAlign w:val="center"/>
          </w:tcPr>
          <w:p>
            <w:pPr>
              <w:ind w:firstLine="420" w:firstLineChars="200"/>
              <w:rPr>
                <w:rFonts w:ascii="Calibri" w:hAnsi="Calibri"/>
                <w:sz w:val="21"/>
                <w:szCs w:val="21"/>
              </w:rPr>
            </w:pPr>
            <w:r>
              <w:rPr>
                <w:rFonts w:ascii="Calibri" w:hAnsi="Calibri"/>
                <w:sz w:val="21"/>
                <w:szCs w:val="21"/>
              </w:rPr>
              <w:t>Due to improper data validation in Windows Themes, when the subject is version 999, check _ vrf. The dll file is closed and opened again, creating a competition window, in which the attacker can replace the validated files with unsigned malicious files. The malicious DLL is then loaded and executed. This results in remote code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Influence version</w:t>
            </w:r>
          </w:p>
        </w:tc>
        <w:tc>
          <w:tcPr>
            <w:tcW w:w="4104" w:type="pct"/>
            <w:gridSpan w:val="3"/>
            <w:vAlign w:val="center"/>
          </w:tcPr>
          <w:p>
            <w:pPr>
              <w:spacing w:line="360" w:lineRule="auto"/>
              <w:rPr>
                <w:rFonts w:ascii="Calibri" w:hAnsi="Calibri" w:cs="Calibri"/>
                <w:sz w:val="21"/>
                <w:szCs w:val="21"/>
              </w:rPr>
            </w:pPr>
            <w:r>
              <w:rPr>
                <w:rFonts w:ascii="Calibri" w:hAnsi="Calibri" w:cs="Calibri"/>
                <w:sz w:val="21"/>
                <w:szCs w:val="21"/>
              </w:rPr>
              <w:t>Windows 11 Version 22H2 for x64-based Systems</w:t>
            </w:r>
          </w:p>
          <w:p>
            <w:pPr>
              <w:spacing w:line="360" w:lineRule="auto"/>
              <w:rPr>
                <w:rFonts w:ascii="Calibri" w:hAnsi="Calibri" w:cs="Calibri"/>
                <w:sz w:val="21"/>
                <w:szCs w:val="21"/>
              </w:rPr>
            </w:pPr>
            <w:r>
              <w:rPr>
                <w:rFonts w:ascii="Calibri" w:hAnsi="Calibri" w:cs="Calibri"/>
                <w:sz w:val="21"/>
                <w:szCs w:val="21"/>
              </w:rPr>
              <w:t>Windows 11 Version 22H2 for ARM64-based Systems</w:t>
            </w:r>
          </w:p>
          <w:p>
            <w:pPr>
              <w:spacing w:line="360" w:lineRule="auto"/>
              <w:rPr>
                <w:rFonts w:ascii="Calibri" w:hAnsi="Calibri" w:cs="Calibri"/>
                <w:sz w:val="21"/>
                <w:szCs w:val="21"/>
              </w:rPr>
            </w:pPr>
            <w:r>
              <w:rPr>
                <w:rFonts w:ascii="Calibri" w:hAnsi="Calibri" w:cs="Calibri"/>
                <w:sz w:val="21"/>
                <w:szCs w:val="21"/>
              </w:rPr>
              <w:t>Windows 11 version 21H2 for ARM64-based Systems</w:t>
            </w:r>
          </w:p>
          <w:p>
            <w:pPr>
              <w:spacing w:line="360" w:lineRule="auto"/>
              <w:rPr>
                <w:rFonts w:ascii="Calibri" w:hAnsi="Calibri" w:cs="Calibri"/>
                <w:sz w:val="21"/>
                <w:szCs w:val="21"/>
              </w:rPr>
            </w:pPr>
            <w:r>
              <w:rPr>
                <w:rFonts w:ascii="Calibri" w:hAnsi="Calibri" w:cs="Calibri"/>
                <w:sz w:val="21"/>
                <w:szCs w:val="21"/>
              </w:rPr>
              <w:t>Windows 11 version 21H2 for x64-based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Other affected components</w:t>
            </w:r>
          </w:p>
        </w:tc>
        <w:tc>
          <w:tcPr>
            <w:tcW w:w="4104" w:type="pct"/>
            <w:gridSpan w:val="3"/>
            <w:vAlign w:val="center"/>
          </w:tcPr>
          <w:p>
            <w:pPr>
              <w:snapToGrid w:val="0"/>
              <w:jc w:val="both"/>
              <w:rPr>
                <w:rFonts w:hint="default" w:eastAsia="宋体" w:cs="Calibri"/>
                <w:sz w:val="21"/>
                <w:szCs w:val="21"/>
                <w:lang w:val="en-US" w:eastAsia="zh-CN"/>
              </w:rPr>
            </w:pPr>
            <w:r>
              <w:rPr>
                <w:rFonts w:hint="eastAsia" w:cs="Calibri"/>
                <w:sz w:val="21"/>
                <w:szCs w:val="21"/>
                <w:lang w:val="en-US" w:eastAsia="zh-CN"/>
              </w:rPr>
              <w:t>None</w:t>
            </w:r>
          </w:p>
        </w:tc>
      </w:tr>
    </w:tbl>
    <w:p>
      <w:pPr>
        <w:pStyle w:val="21"/>
        <w:rPr>
          <w:rFonts w:ascii="Calibri" w:hAnsi="Calibri" w:eastAsia="微软雅黑"/>
        </w:rPr>
      </w:pPr>
    </w:p>
    <w:p>
      <w:pPr>
        <w:pStyle w:val="21"/>
        <w:spacing w:before="156" w:beforeLines="50" w:after="156" w:afterLines="50"/>
        <w:outlineLvl w:val="0"/>
        <w:rPr>
          <w:rFonts w:ascii="Calibri" w:hAnsi="Calibri" w:eastAsia="黑体"/>
          <w:sz w:val="32"/>
          <w:szCs w:val="32"/>
        </w:rPr>
      </w:pPr>
      <w:bookmarkStart w:id="1" w:name="_Toc146125690"/>
      <w:r>
        <w:rPr>
          <w:rFonts w:hint="eastAsia" w:ascii="Calibri" w:hAnsi="Calibri" w:eastAsia="黑体"/>
          <w:sz w:val="32"/>
          <w:szCs w:val="32"/>
        </w:rPr>
        <w:t>2. Threat assessment</w:t>
      </w:r>
      <w:bookmarkEnd w:id="1"/>
    </w:p>
    <w:tbl>
      <w:tblPr>
        <w:tblStyle w:val="1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2174"/>
        <w:gridCol w:w="937"/>
        <w:gridCol w:w="1037"/>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Align w:val="center"/>
          </w:tcPr>
          <w:p>
            <w:pPr>
              <w:jc w:val="both"/>
              <w:rPr>
                <w:b/>
                <w:kern w:val="2"/>
                <w:sz w:val="21"/>
                <w:szCs w:val="21"/>
              </w:rPr>
            </w:pPr>
            <w:r>
              <w:rPr>
                <w:rFonts w:ascii="Calibri" w:hAnsi="Calibri"/>
                <w:b/>
                <w:kern w:val="2"/>
                <w:sz w:val="21"/>
                <w:szCs w:val="21"/>
              </w:rPr>
              <w:t>CVSS 3.1 for Rating</w:t>
            </w:r>
          </w:p>
        </w:tc>
        <w:tc>
          <w:tcPr>
            <w:tcW w:w="2174" w:type="dxa"/>
            <w:vAlign w:val="center"/>
          </w:tcPr>
          <w:p>
            <w:pPr>
              <w:jc w:val="center"/>
              <w:rPr>
                <w:b/>
                <w:kern w:val="2"/>
                <w:sz w:val="21"/>
                <w:szCs w:val="21"/>
              </w:rPr>
            </w:pPr>
            <w:r>
              <w:rPr>
                <w:rFonts w:hint="eastAsia"/>
                <w:b/>
                <w:color w:val="FF0000"/>
                <w:kern w:val="2"/>
                <w:sz w:val="21"/>
                <w:szCs w:val="21"/>
              </w:rPr>
              <w:t>high risk</w:t>
            </w:r>
          </w:p>
        </w:tc>
        <w:tc>
          <w:tcPr>
            <w:tcW w:w="1974" w:type="dxa"/>
            <w:gridSpan w:val="2"/>
            <w:vAlign w:val="center"/>
          </w:tcPr>
          <w:p>
            <w:pPr>
              <w:jc w:val="both"/>
              <w:rPr>
                <w:b/>
                <w:kern w:val="2"/>
                <w:sz w:val="21"/>
                <w:szCs w:val="21"/>
              </w:rPr>
            </w:pPr>
            <w:r>
              <w:rPr>
                <w:rFonts w:ascii="Calibri" w:hAnsi="Calibri"/>
                <w:b/>
                <w:kern w:val="2"/>
                <w:sz w:val="21"/>
                <w:szCs w:val="21"/>
              </w:rPr>
              <w:t>The CVSS 3.1 score</w:t>
            </w:r>
          </w:p>
        </w:tc>
        <w:tc>
          <w:tcPr>
            <w:tcW w:w="2074" w:type="dxa"/>
            <w:vAlign w:val="center"/>
          </w:tcPr>
          <w:p>
            <w:pPr>
              <w:jc w:val="center"/>
              <w:rPr>
                <w:bCs/>
                <w:kern w:val="2"/>
                <w:sz w:val="21"/>
                <w:szCs w:val="21"/>
              </w:rPr>
            </w:pPr>
            <w:r>
              <w:rPr>
                <w:rFonts w:ascii="Calibri" w:hAnsi="Calibri"/>
                <w:bCs/>
                <w:kern w:val="2"/>
                <w:sz w:val="21"/>
                <w:szCs w:val="21"/>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restart"/>
            <w:vAlign w:val="center"/>
          </w:tcPr>
          <w:p>
            <w:pPr>
              <w:jc w:val="both"/>
              <w:rPr>
                <w:b/>
                <w:kern w:val="2"/>
                <w:sz w:val="21"/>
                <w:szCs w:val="21"/>
              </w:rPr>
            </w:pPr>
            <w:r>
              <w:rPr>
                <w:rFonts w:ascii="Calibri" w:hAnsi="Calibri"/>
                <w:b/>
                <w:sz w:val="21"/>
                <w:szCs w:val="21"/>
              </w:rPr>
              <w:t>CVSS vector</w:t>
            </w:r>
          </w:p>
        </w:tc>
        <w:tc>
          <w:tcPr>
            <w:tcW w:w="3111" w:type="dxa"/>
            <w:gridSpan w:val="2"/>
            <w:vAlign w:val="center"/>
          </w:tcPr>
          <w:p>
            <w:pPr>
              <w:jc w:val="center"/>
              <w:rPr>
                <w:b/>
                <w:kern w:val="2"/>
                <w:sz w:val="21"/>
                <w:szCs w:val="21"/>
              </w:rPr>
            </w:pPr>
            <w:r>
              <w:rPr>
                <w:rFonts w:hint="eastAsia" w:ascii="Calibri" w:hAnsi="Calibri"/>
                <w:b/>
                <w:kern w:val="2"/>
                <w:sz w:val="21"/>
                <w:szCs w:val="21"/>
              </w:rPr>
              <w:t>Access route (AV)</w:t>
            </w:r>
          </w:p>
        </w:tc>
        <w:tc>
          <w:tcPr>
            <w:tcW w:w="3111" w:type="dxa"/>
            <w:gridSpan w:val="2"/>
            <w:vAlign w:val="center"/>
          </w:tcPr>
          <w:p>
            <w:pPr>
              <w:jc w:val="center"/>
              <w:rPr>
                <w:b/>
                <w:kern w:val="2"/>
                <w:sz w:val="21"/>
                <w:szCs w:val="21"/>
              </w:rPr>
            </w:pPr>
            <w:r>
              <w:rPr>
                <w:rFonts w:hint="eastAsia" w:ascii="Calibri" w:hAnsi="Calibri"/>
                <w:b/>
                <w:kern w:val="2"/>
                <w:sz w:val="21"/>
                <w:szCs w:val="21"/>
              </w:rPr>
              <w:t>Attack complexity (AC)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network</w:t>
            </w:r>
          </w:p>
        </w:tc>
        <w:tc>
          <w:tcPr>
            <w:tcW w:w="3111" w:type="dxa"/>
            <w:gridSpan w:val="2"/>
            <w:vAlign w:val="center"/>
          </w:tcPr>
          <w:p>
            <w:pPr>
              <w:jc w:val="center"/>
              <w:rPr>
                <w:kern w:val="2"/>
                <w:sz w:val="21"/>
                <w:szCs w:val="21"/>
              </w:rPr>
            </w:pPr>
            <w:r>
              <w:rPr>
                <w:rFonts w:hint="eastAsia"/>
                <w:kern w:val="2"/>
                <w:sz w:val="21"/>
                <w:szCs w:val="21"/>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Required permission (PR)</w:t>
            </w:r>
          </w:p>
        </w:tc>
        <w:tc>
          <w:tcPr>
            <w:tcW w:w="3111" w:type="dxa"/>
            <w:gridSpan w:val="2"/>
            <w:vAlign w:val="center"/>
          </w:tcPr>
          <w:p>
            <w:pPr>
              <w:jc w:val="center"/>
              <w:rPr>
                <w:b/>
                <w:kern w:val="2"/>
                <w:sz w:val="21"/>
                <w:szCs w:val="21"/>
              </w:rPr>
            </w:pPr>
            <w:r>
              <w:rPr>
                <w:rFonts w:hint="eastAsia" w:ascii="Calibri" w:hAnsi="Calibri"/>
                <w:b/>
                <w:kern w:val="2"/>
                <w:sz w:val="21"/>
                <w:szCs w:val="21"/>
              </w:rPr>
              <w:t>User Interaction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non-essential</w:t>
            </w:r>
          </w:p>
        </w:tc>
        <w:tc>
          <w:tcPr>
            <w:tcW w:w="3111" w:type="dxa"/>
            <w:gridSpan w:val="2"/>
            <w:vAlign w:val="center"/>
          </w:tcPr>
          <w:p>
            <w:pPr>
              <w:jc w:val="center"/>
              <w:rPr>
                <w:rFonts w:hint="default" w:eastAsia="宋体"/>
                <w:kern w:val="2"/>
                <w:sz w:val="21"/>
                <w:szCs w:val="21"/>
                <w:lang w:val="en-US" w:eastAsia="zh-CN"/>
              </w:rPr>
            </w:pPr>
            <w:r>
              <w:rPr>
                <w:rFonts w:hint="eastAsia" w:ascii="Calibri" w:hAnsi="Calibri"/>
                <w:kern w:val="2"/>
                <w:sz w:val="21"/>
                <w:szCs w:val="21"/>
                <w:lang w:val="en-US" w:eastAsia="zh-CN"/>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incidence (S)</w:t>
            </w:r>
          </w:p>
        </w:tc>
        <w:tc>
          <w:tcPr>
            <w:tcW w:w="3111" w:type="dxa"/>
            <w:gridSpan w:val="2"/>
            <w:vAlign w:val="center"/>
          </w:tcPr>
          <w:p>
            <w:pPr>
              <w:jc w:val="center"/>
              <w:rPr>
                <w:b/>
                <w:kern w:val="2"/>
                <w:sz w:val="21"/>
                <w:szCs w:val="21"/>
              </w:rPr>
            </w:pPr>
            <w:r>
              <w:rPr>
                <w:rFonts w:hint="eastAsia" w:ascii="Calibri" w:hAnsi="Calibri"/>
                <w:b/>
                <w:kern w:val="2"/>
                <w:sz w:val="21"/>
                <w:szCs w:val="21"/>
              </w:rPr>
              <w:t>Confidentiality Impact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ascii="Calibri" w:hAnsi="Calibri"/>
                <w:kern w:val="2"/>
                <w:sz w:val="21"/>
                <w:szCs w:val="21"/>
              </w:rPr>
              <w:t>no change</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Integrity Impact (I)</w:t>
            </w:r>
          </w:p>
        </w:tc>
        <w:tc>
          <w:tcPr>
            <w:tcW w:w="3111" w:type="dxa"/>
            <w:gridSpan w:val="2"/>
            <w:vAlign w:val="center"/>
          </w:tcPr>
          <w:p>
            <w:pPr>
              <w:jc w:val="center"/>
              <w:rPr>
                <w:b/>
                <w:kern w:val="2"/>
                <w:sz w:val="21"/>
                <w:szCs w:val="21"/>
              </w:rPr>
            </w:pPr>
            <w:r>
              <w:rPr>
                <w:rFonts w:hint="eastAsia" w:ascii="Calibri" w:hAnsi="Calibri"/>
                <w:b/>
                <w:kern w:val="2"/>
                <w:sz w:val="21"/>
                <w:szCs w:val="21"/>
              </w:rPr>
              <w:t>Availability Effects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966" w:type="dxa"/>
            <w:vAlign w:val="center"/>
          </w:tcPr>
          <w:p>
            <w:pPr>
              <w:jc w:val="both"/>
              <w:rPr>
                <w:b/>
                <w:kern w:val="2"/>
                <w:sz w:val="21"/>
                <w:szCs w:val="21"/>
              </w:rPr>
            </w:pPr>
            <w:r>
              <w:rPr>
                <w:rFonts w:hint="eastAsia" w:ascii="Calibri" w:hAnsi="Calibri"/>
                <w:b/>
                <w:kern w:val="2"/>
                <w:sz w:val="21"/>
                <w:szCs w:val="21"/>
              </w:rPr>
              <w:t xml:space="preserve"> Hazard description</w:t>
            </w:r>
          </w:p>
        </w:tc>
        <w:tc>
          <w:tcPr>
            <w:tcW w:w="6222" w:type="dxa"/>
            <w:gridSpan w:val="4"/>
            <w:vAlign w:val="center"/>
          </w:tcPr>
          <w:p>
            <w:pPr>
              <w:spacing w:line="360" w:lineRule="auto"/>
              <w:ind w:firstLine="420" w:firstLineChars="200"/>
              <w:jc w:val="both"/>
              <w:rPr>
                <w:kern w:val="2"/>
                <w:sz w:val="21"/>
                <w:szCs w:val="21"/>
              </w:rPr>
            </w:pPr>
            <w:r>
              <w:rPr>
                <w:rFonts w:hint="eastAsia" w:hAnsi="Times New Roman"/>
                <w:sz w:val="21"/>
                <w:szCs w:val="21"/>
                <w:lang w:val="zh-CN"/>
              </w:rPr>
              <w:t>The remote attacker can induce the victim to click on the special theme file to trigger the vulnerability, and can successfully exploit the vulnerability to execute the code remotely.</w:t>
            </w:r>
          </w:p>
        </w:tc>
      </w:tr>
    </w:tbl>
    <w:p>
      <w:pPr>
        <w:spacing w:before="156" w:beforeLines="50" w:after="156" w:afterLines="50" w:line="360" w:lineRule="auto"/>
        <w:rPr>
          <w:rFonts w:ascii="Calibri" w:hAnsi="Calibri"/>
          <w:sz w:val="21"/>
          <w:szCs w:val="21"/>
        </w:rPr>
      </w:pPr>
    </w:p>
    <w:p>
      <w:pPr>
        <w:pStyle w:val="21"/>
        <w:spacing w:before="156" w:beforeLines="50" w:after="156" w:afterLines="50"/>
        <w:outlineLvl w:val="0"/>
        <w:rPr>
          <w:rFonts w:ascii="Calibri" w:hAnsi="Calibri" w:eastAsia="黑体"/>
          <w:sz w:val="32"/>
          <w:szCs w:val="32"/>
        </w:rPr>
      </w:pPr>
      <w:bookmarkStart w:id="2" w:name="_Toc146125691"/>
      <w:r>
        <w:rPr>
          <w:rFonts w:hint="eastAsia" w:ascii="Calibri" w:hAnsi="Calibri" w:eastAsia="黑体"/>
          <w:sz w:val="32"/>
          <w:szCs w:val="32"/>
        </w:rPr>
        <w:t>3. The security status of the affected assets</w:t>
      </w:r>
      <w:bookmarkEnd w:id="2"/>
    </w:p>
    <w:p>
      <w:pPr>
        <w:adjustRightInd w:val="0"/>
        <w:snapToGrid w:val="0"/>
        <w:spacing w:before="156" w:beforeLines="50" w:after="156" w:afterLines="50" w:line="360" w:lineRule="auto"/>
        <w:rPr>
          <w:rFonts w:ascii="Calibri" w:hAnsi="Calibri"/>
          <w:sz w:val="21"/>
          <w:szCs w:val="21"/>
        </w:rPr>
      </w:pPr>
      <w:r>
        <w:rPr>
          <w:rFonts w:hint="eastAsia" w:ascii="Calibri" w:hAnsi="Calibri"/>
          <w:sz w:val="21"/>
          <w:szCs w:val="21"/>
        </w:rPr>
        <w:t>Not available</w:t>
      </w:r>
    </w:p>
    <w:p>
      <w:pPr>
        <w:adjustRightInd w:val="0"/>
        <w:snapToGrid w:val="0"/>
        <w:spacing w:before="156" w:beforeLines="50" w:after="156" w:afterLines="50" w:line="360" w:lineRule="auto"/>
        <w:rPr>
          <w:rFonts w:ascii="Calibri" w:hAnsi="Calibri"/>
          <w:sz w:val="21"/>
          <w:szCs w:val="21"/>
        </w:rPr>
      </w:pPr>
    </w:p>
    <w:p>
      <w:pPr>
        <w:pStyle w:val="21"/>
        <w:spacing w:before="156" w:beforeLines="50" w:after="156" w:afterLines="50"/>
        <w:outlineLvl w:val="0"/>
        <w:rPr>
          <w:rFonts w:ascii="Calibri" w:hAnsi="Calibri" w:eastAsia="黑体"/>
          <w:sz w:val="32"/>
          <w:szCs w:val="32"/>
        </w:rPr>
      </w:pPr>
      <w:bookmarkStart w:id="3" w:name="_Toc146125692"/>
      <w:r>
        <w:rPr>
          <w:rFonts w:hint="eastAsia" w:ascii="Calibri" w:hAnsi="Calibri" w:eastAsia="黑体"/>
          <w:sz w:val="32"/>
          <w:szCs w:val="32"/>
        </w:rPr>
        <w:t>4. Disposal advice</w:t>
      </w:r>
      <w:bookmarkEnd w:id="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2165"/>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Self-examination and testing scheme</w:t>
            </w:r>
          </w:p>
        </w:tc>
        <w:tc>
          <w:tcPr>
            <w:tcW w:w="7148" w:type="dxa"/>
            <w:gridSpan w:val="2"/>
            <w:vAlign w:val="center"/>
          </w:tcPr>
          <w:p>
            <w:pPr>
              <w:pStyle w:val="35"/>
              <w:numPr>
                <w:ilvl w:val="0"/>
                <w:numId w:val="1"/>
              </w:numPr>
              <w:spacing w:line="360" w:lineRule="auto"/>
              <w:ind w:firstLineChars="0"/>
              <w:jc w:val="both"/>
              <w:rPr>
                <w:rFonts w:ascii="Calibri" w:hAnsi="Calibri"/>
                <w:sz w:val="21"/>
                <w:szCs w:val="21"/>
              </w:rPr>
            </w:pPr>
            <w:r>
              <w:rPr>
                <w:rFonts w:hint="eastAsia" w:ascii="Calibri" w:hAnsi="Calibri"/>
                <w:sz w:val="21"/>
                <w:szCs w:val="21"/>
              </w:rPr>
              <w:t>Pass version detection (recommended update to latest version)</w:t>
            </w:r>
          </w:p>
          <w:p>
            <w:pPr>
              <w:spacing w:line="360" w:lineRule="auto"/>
              <w:jc w:val="both"/>
              <w:rPr>
                <w:rFonts w:ascii="Calibri" w:hAnsi="Calibri"/>
                <w:sz w:val="21"/>
                <w:szCs w:val="21"/>
              </w:rPr>
            </w:pPr>
            <w:r>
              <w:rPr>
                <w:rFonts w:hint="eastAsia" w:ascii="Calibri" w:hAnsi="Calibri"/>
                <w:sz w:val="21"/>
                <w:szCs w:val="21"/>
              </w:rPr>
              <w:t>2, by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Automated vulnerability scanning method</w:t>
            </w:r>
          </w:p>
        </w:tc>
        <w:tc>
          <w:tcPr>
            <w:tcW w:w="7148" w:type="dxa"/>
            <w:gridSpan w:val="2"/>
            <w:vAlign w:val="center"/>
          </w:tcPr>
          <w:p>
            <w:pPr>
              <w:adjustRightInd w:val="0"/>
              <w:snapToGrid w:val="0"/>
              <w:jc w:val="both"/>
              <w:rPr>
                <w:sz w:val="21"/>
                <w:szCs w:val="21"/>
              </w:rPr>
            </w:pPr>
            <w:r>
              <w:rPr>
                <w:rFonts w:hint="eastAsia" w:ascii="Calibri" w:hAnsi="Calibri"/>
                <w:sz w:val="21"/>
                <w:szCs w:val="21"/>
              </w:rPr>
              <w:t>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Repair mitigation measures</w:t>
            </w:r>
          </w:p>
        </w:tc>
        <w:tc>
          <w:tcPr>
            <w:tcW w:w="7148" w:type="dxa"/>
            <w:gridSpan w:val="2"/>
            <w:vAlign w:val="center"/>
          </w:tcPr>
          <w:p>
            <w:pPr>
              <w:spacing w:line="360" w:lineRule="auto"/>
              <w:jc w:val="both"/>
              <w:rPr>
                <w:rFonts w:ascii="Calibri" w:hAnsi="Calibri"/>
                <w:sz w:val="21"/>
                <w:szCs w:val="21"/>
              </w:rPr>
            </w:pPr>
            <w:r>
              <w:rPr>
                <w:rFonts w:ascii="Calibri" w:hAnsi="Calibri"/>
                <w:sz w:val="21"/>
                <w:szCs w:val="21"/>
              </w:rPr>
              <w:t>Please keep automatic updates enabled, or refer to the following link to upgrade to the secure version: https://msrc.microsoft.com/update-guide/vulnerability/CVE-2023-36874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Align w:val="center"/>
          </w:tcPr>
          <w:p>
            <w:pPr>
              <w:adjustRightInd w:val="0"/>
              <w:snapToGrid w:val="0"/>
              <w:jc w:val="both"/>
              <w:rPr>
                <w:b/>
                <w:sz w:val="21"/>
                <w:szCs w:val="21"/>
              </w:rPr>
            </w:pPr>
            <w:r>
              <w:rPr>
                <w:rFonts w:hint="eastAsia" w:ascii="Calibri" w:hAnsi="Calibri"/>
                <w:b/>
                <w:sz w:val="21"/>
                <w:szCs w:val="21"/>
              </w:rPr>
              <w:t>Repair solution (including vulnerability patches)</w:t>
            </w:r>
          </w:p>
        </w:tc>
        <w:tc>
          <w:tcPr>
            <w:tcW w:w="7148" w:type="dxa"/>
            <w:gridSpan w:val="2"/>
          </w:tcPr>
          <w:p>
            <w:pPr>
              <w:spacing w:line="360" w:lineRule="auto"/>
              <w:rPr>
                <w:rFonts w:ascii="Calibri" w:hAnsi="Calibri"/>
                <w:sz w:val="21"/>
                <w:szCs w:val="21"/>
              </w:rPr>
            </w:pPr>
            <w:r>
              <w:rPr>
                <w:rFonts w:hint="eastAsia" w:ascii="Calibri" w:hAnsi="Calibri"/>
                <w:sz w:val="21"/>
                <w:szCs w:val="21"/>
              </w:rPr>
              <w:t>Microsoft has now released a security update, and users can obtain it through the Windows update. If it cannot update automatically, please refer to the following link to download and install the corresponding version of the security patch:</w:t>
            </w:r>
          </w:p>
          <w:p>
            <w:pPr>
              <w:spacing w:line="360" w:lineRule="auto"/>
              <w:rPr>
                <w:rFonts w:ascii="Calibri" w:hAnsi="Calibri"/>
                <w:sz w:val="21"/>
                <w:szCs w:val="21"/>
              </w:rPr>
            </w:pPr>
            <w:r>
              <w:rPr>
                <w:rFonts w:ascii="Calibri" w:hAnsi="Calibri"/>
                <w:sz w:val="21"/>
                <w:szCs w:val="21"/>
              </w:rPr>
              <w:t>https://msrc.microsoft.com/update-guide/vulnerability/CVE-2023-36874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restart"/>
            <w:vAlign w:val="center"/>
          </w:tcPr>
          <w:p>
            <w:pPr>
              <w:adjustRightInd w:val="0"/>
              <w:snapToGrid w:val="0"/>
              <w:rPr>
                <w:b/>
                <w:sz w:val="21"/>
                <w:szCs w:val="21"/>
              </w:rPr>
            </w:pPr>
            <w:r>
              <w:rPr>
                <w:rFonts w:hint="eastAsia" w:ascii="Calibri" w:hAnsi="Calibri"/>
                <w:b/>
                <w:sz w:val="21"/>
                <w:szCs w:val="21"/>
              </w:rPr>
              <w:t>The effects of the repair caused</w:t>
            </w:r>
          </w:p>
        </w:tc>
        <w:tc>
          <w:tcPr>
            <w:tcW w:w="2165"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Need to restart the operating system</w:t>
            </w:r>
          </w:p>
        </w:tc>
        <w:tc>
          <w:tcPr>
            <w:tcW w:w="4983"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9"/>
              <w:adjustRightInd w:val="0"/>
              <w:snapToGrid w:val="0"/>
              <w:ind w:firstLine="0" w:firstLineChars="0"/>
              <w:jc w:val="both"/>
              <w:rPr>
                <w:sz w:val="21"/>
                <w:szCs w:val="21"/>
              </w:rPr>
            </w:pPr>
            <w:r>
              <w:rPr>
                <w:rFonts w:hint="eastAsia" w:ascii="Calibri" w:hAnsi="Calibri"/>
                <w:sz w:val="21"/>
                <w:szCs w:val="21"/>
              </w:rPr>
              <w:t>Need to restart the application system</w:t>
            </w:r>
          </w:p>
        </w:tc>
        <w:tc>
          <w:tcPr>
            <w:tcW w:w="4983"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deny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9"/>
              <w:adjustRightInd w:val="0"/>
              <w:snapToGrid w:val="0"/>
              <w:ind w:firstLine="0" w:firstLineChars="0"/>
              <w:jc w:val="both"/>
              <w:rPr>
                <w:sz w:val="21"/>
                <w:szCs w:val="21"/>
              </w:rPr>
            </w:pPr>
            <w:r>
              <w:rPr>
                <w:rFonts w:hint="eastAsia" w:ascii="Calibri" w:hAnsi="Calibri"/>
                <w:sz w:val="21"/>
                <w:szCs w:val="21"/>
              </w:rPr>
              <w:t>other</w:t>
            </w:r>
          </w:p>
        </w:tc>
        <w:tc>
          <w:tcPr>
            <w:tcW w:w="4983" w:type="dxa"/>
          </w:tcPr>
          <w:p>
            <w:pPr>
              <w:pStyle w:val="29"/>
              <w:adjustRightInd w:val="0"/>
              <w:snapToGrid w:val="0"/>
              <w:ind w:firstLine="0" w:firstLineChars="0"/>
              <w:rPr>
                <w:sz w:val="21"/>
                <w:szCs w:val="21"/>
                <w:lang w:eastAsia="zh-Hans"/>
              </w:rPr>
            </w:pPr>
          </w:p>
        </w:tc>
      </w:tr>
    </w:tbl>
    <w:p>
      <w:pPr>
        <w:rPr>
          <w:rFonts w:ascii="Calibri" w:hAnsi="Calibri" w:eastAsia="微软雅黑"/>
          <w:b/>
          <w:sz w:val="30"/>
          <w:szCs w:val="30"/>
        </w:rPr>
      </w:pPr>
    </w:p>
    <w:p>
      <w:pPr>
        <w:pStyle w:val="21"/>
        <w:spacing w:before="156" w:beforeLines="50" w:after="156" w:afterLines="50"/>
        <w:outlineLvl w:val="0"/>
        <w:rPr>
          <w:rFonts w:ascii="Calibri" w:hAnsi="Calibri" w:eastAsia="黑体"/>
          <w:sz w:val="32"/>
          <w:szCs w:val="32"/>
        </w:rPr>
      </w:pPr>
      <w:bookmarkStart w:id="4" w:name="_Toc146125693"/>
      <w:r>
        <w:rPr>
          <w:rFonts w:hint="eastAsia" w:ascii="Calibri" w:hAnsi="Calibri" w:eastAsia="黑体"/>
          <w:sz w:val="32"/>
          <w:szCs w:val="32"/>
        </w:rPr>
        <w:t>5. The full utilization process</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84" w:type="dxa"/>
            <w:vAlign w:val="center"/>
          </w:tcPr>
          <w:p>
            <w:pPr>
              <w:adjustRightInd w:val="0"/>
              <w:snapToGrid w:val="0"/>
              <w:jc w:val="both"/>
              <w:rPr>
                <w:b/>
                <w:sz w:val="21"/>
                <w:szCs w:val="21"/>
              </w:rPr>
            </w:pPr>
            <w:r>
              <w:rPr>
                <w:rFonts w:hint="eastAsia" w:ascii="Calibri" w:hAnsi="Calibri"/>
                <w:b/>
                <w:sz w:val="21"/>
                <w:szCs w:val="21"/>
              </w:rPr>
              <w:t xml:space="preserve"> EXP/POC</w:t>
            </w:r>
          </w:p>
        </w:tc>
        <w:tc>
          <w:tcPr>
            <w:tcW w:w="7138" w:type="dxa"/>
            <w:vAlign w:val="center"/>
          </w:tcPr>
          <w:p>
            <w:pPr>
              <w:spacing w:line="360" w:lineRule="auto"/>
              <w:rPr>
                <w:rFonts w:ascii="Calibri" w:hAnsi="Calibri"/>
                <w:sz w:val="21"/>
                <w:szCs w:val="21"/>
              </w:rPr>
            </w:pPr>
            <w:r>
              <w:rPr>
                <w:rFonts w:ascii="Calibri" w:hAnsi="Calibri"/>
                <w:sz w:val="21"/>
                <w:szCs w:val="21"/>
              </w:rPr>
              <w:t>See the attachment for the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384" w:type="dxa"/>
            <w:vAlign w:val="center"/>
          </w:tcPr>
          <w:p>
            <w:pPr>
              <w:adjustRightInd w:val="0"/>
              <w:snapToGrid w:val="0"/>
              <w:jc w:val="both"/>
              <w:rPr>
                <w:b/>
                <w:sz w:val="21"/>
                <w:szCs w:val="21"/>
              </w:rPr>
            </w:pPr>
            <w:r>
              <w:rPr>
                <w:rFonts w:hint="eastAsia" w:ascii="Calibri" w:hAnsi="Calibri"/>
                <w:b/>
                <w:sz w:val="21"/>
                <w:szCs w:val="21"/>
              </w:rPr>
              <w:t>Use details to describe</w:t>
            </w:r>
          </w:p>
        </w:tc>
        <w:tc>
          <w:tcPr>
            <w:tcW w:w="7138" w:type="dxa"/>
          </w:tcPr>
          <w:p>
            <w:pPr>
              <w:tabs>
                <w:tab w:val="left" w:pos="1185"/>
              </w:tabs>
              <w:rPr>
                <w:rFonts w:ascii="Calibri" w:hAnsi="Calibri"/>
                <w:sz w:val="21"/>
                <w:szCs w:val="21"/>
              </w:rPr>
            </w:pPr>
            <w:r>
              <w:rPr>
                <w:rFonts w:ascii="Calibri" w:hAnsi="Calibri"/>
                <w:sz w:val="21"/>
                <w:szCs w:val="21"/>
              </w:rPr>
              <w:t>On the Windows,.theme The file allows for the customization of the operating system appearance. The.theme file itself is an ini file that contains the configuration details.</w:t>
            </w:r>
            <w:r>
              <w:rPr>
                <w:rFonts w:hint="eastAsia" w:ascii="Calibri" w:hAnsi="Calibri"/>
                <w:sz w:val="21"/>
                <w:szCs w:val="21"/>
              </w:rPr>
              <w:t xml:space="preserve"> Click on the Windows 11.theme The file will call the following command:</w:t>
            </w:r>
          </w:p>
          <w:p>
            <w:pPr>
              <w:tabs>
                <w:tab w:val="left" w:pos="1185"/>
              </w:tabs>
              <w:rPr>
                <w:rFonts w:ascii="Calibri" w:hAnsi="Calibri"/>
                <w:sz w:val="21"/>
                <w:szCs w:val="21"/>
              </w:rPr>
            </w:pPr>
            <w:r>
              <w:rPr>
                <w:rFonts w:ascii="Calibri" w:hAnsi="Calibri"/>
                <w:sz w:val="21"/>
                <w:szCs w:val="21"/>
              </w:rPr>
              <w:t>"C:\WINDOWS\system32\rundll32.exe" C:\WINDOWS\system32\themecpl.dll,OpenThemeAction  &lt;theme file path&gt;</w:t>
            </w:r>
          </w:p>
          <w:p>
            <w:pPr>
              <w:tabs>
                <w:tab w:val="left" w:pos="1185"/>
              </w:tabs>
              <w:rPr>
                <w:rFonts w:ascii="Calibri" w:hAnsi="Calibri"/>
                <w:sz w:val="21"/>
                <w:szCs w:val="21"/>
              </w:rPr>
            </w:pPr>
            <w:r>
              <w:rPr>
                <w:rFonts w:ascii="Calibri" w:hAnsi="Calibri"/>
                <w:sz w:val="21"/>
                <w:szCs w:val="21"/>
              </w:rPr>
              <w:t>The.msstyles file can be used in.theme The file is referenced in the following ways:</w:t>
            </w:r>
          </w:p>
          <w:p>
            <w:pPr>
              <w:tabs>
                <w:tab w:val="left" w:pos="1185"/>
              </w:tabs>
              <w:rPr>
                <w:rFonts w:ascii="Calibri" w:hAnsi="Calibri"/>
                <w:sz w:val="21"/>
                <w:szCs w:val="21"/>
              </w:rPr>
            </w:pPr>
            <w:r>
              <w:rPr>
                <w:rFonts w:ascii="Calibri" w:hAnsi="Calibri"/>
                <w:sz w:val="21"/>
                <w:szCs w:val="21"/>
              </w:rPr>
              <w:t>[VisualStyles ]</w:t>
            </w:r>
          </w:p>
          <w:p>
            <w:pPr>
              <w:tabs>
                <w:tab w:val="left" w:pos="1185"/>
              </w:tabs>
              <w:rPr>
                <w:rFonts w:ascii="Calibri" w:hAnsi="Calibri"/>
                <w:sz w:val="21"/>
                <w:szCs w:val="21"/>
              </w:rPr>
            </w:pPr>
            <w:r>
              <w:rPr>
                <w:rFonts w:ascii="Calibri" w:hAnsi="Calibri"/>
                <w:sz w:val="21"/>
                <w:szCs w:val="21"/>
              </w:rPr>
              <w:t xml:space="preserve"> Path=%SystemRoot %\resources\Themes\Aero\Aero.msstyles</w:t>
            </w:r>
          </w:p>
          <w:p>
            <w:pPr>
              <w:rPr>
                <w:rFonts w:ascii="Calibri" w:hAnsi="Calibri"/>
                <w:sz w:val="21"/>
                <w:szCs w:val="21"/>
              </w:rPr>
            </w:pPr>
            <w:r>
              <w:rPr>
                <w:rFonts w:ascii="Calibri" w:hAnsi="Calibri"/>
                <w:sz w:val="21"/>
                <w:szCs w:val="21"/>
              </w:rPr>
              <w:t>equal.theme When the file is opened, this is. The msstyles file is also loaded.</w:t>
            </w:r>
          </w:p>
          <w:p>
            <w:pPr>
              <w:tabs>
                <w:tab w:val="left" w:pos="1185"/>
              </w:tabs>
              <w:rPr>
                <w:rFonts w:ascii="Calibri" w:hAnsi="Calibri"/>
                <w:sz w:val="21"/>
                <w:szCs w:val="21"/>
              </w:rPr>
            </w:pPr>
            <w:r>
              <w:rPr>
                <w:rFonts w:ascii="Calibri" w:hAnsi="Calibri"/>
                <w:sz w:val="21"/>
                <w:szCs w:val="21"/>
              </w:rPr>
              <w:t>With "Mark-of-the-Web".theme 、.themepac k The file can bypass the security warning, click on the file is loaded on the remote machine.msstyles</w:t>
            </w:r>
          </w:p>
          <w:p>
            <w:pPr>
              <w:tabs>
                <w:tab w:val="left" w:pos="1185"/>
              </w:tabs>
              <w:rPr>
                <w:rFonts w:ascii="Calibri" w:hAnsi="Calibri"/>
                <w:sz w:val="21"/>
                <w:szCs w:val="21"/>
              </w:rPr>
            </w:pPr>
            <w:r>
              <w:drawing>
                <wp:inline distT="0" distB="0" distL="0" distR="0">
                  <wp:extent cx="4395470" cy="3163570"/>
                  <wp:effectExtent l="0" t="0" r="0" b="0"/>
                  <wp:docPr id="1524631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31401" name="图片 1"/>
                          <pic:cNvPicPr>
                            <a:picLocks noChangeAspect="1"/>
                          </pic:cNvPicPr>
                        </pic:nvPicPr>
                        <pic:blipFill>
                          <a:blip r:embed="rId11"/>
                          <a:stretch>
                            <a:fillRect/>
                          </a:stretch>
                        </pic:blipFill>
                        <pic:spPr>
                          <a:xfrm>
                            <a:off x="0" y="0"/>
                            <a:ext cx="4395470" cy="3163570"/>
                          </a:xfrm>
                          <a:prstGeom prst="rect">
                            <a:avLst/>
                          </a:prstGeom>
                        </pic:spPr>
                      </pic:pic>
                    </a:graphicData>
                  </a:graphic>
                </wp:inline>
              </w:drawing>
            </w:r>
          </w:p>
          <w:p>
            <w:pPr>
              <w:tabs>
                <w:tab w:val="left" w:pos="1185"/>
              </w:tabs>
              <w:rPr>
                <w:rFonts w:ascii="Calibri" w:hAnsi="Calibri"/>
                <w:sz w:val="21"/>
                <w:szCs w:val="21"/>
              </w:rPr>
            </w:pPr>
            <w:r>
              <w:rPr>
                <w:rFonts w:ascii="Calibri" w:hAnsi="Calibri"/>
                <w:sz w:val="21"/>
                <w:szCs w:val="21"/>
              </w:rPr>
              <w:drawing>
                <wp:inline distT="0" distB="0" distL="0" distR="0">
                  <wp:extent cx="4395470" cy="1219200"/>
                  <wp:effectExtent l="0" t="0" r="0" b="0"/>
                  <wp:docPr id="11530821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82157"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95470" cy="1219200"/>
                          </a:xfrm>
                          <a:prstGeom prst="rect">
                            <a:avLst/>
                          </a:prstGeom>
                          <a:noFill/>
                          <a:ln>
                            <a:noFill/>
                          </a:ln>
                        </pic:spPr>
                      </pic:pic>
                    </a:graphicData>
                  </a:graphic>
                </wp:inline>
              </w:drawing>
            </w:r>
          </w:p>
          <w:p>
            <w:pPr>
              <w:tabs>
                <w:tab w:val="left" w:pos="1185"/>
              </w:tabs>
              <w:rPr>
                <w:rFonts w:ascii="Calibri" w:hAnsi="Calibri"/>
                <w:sz w:val="21"/>
                <w:szCs w:val="21"/>
              </w:rPr>
            </w:pPr>
            <w:r>
              <w:rPr>
                <w:rFonts w:ascii="Calibri" w:hAnsi="Calibri"/>
                <w:sz w:val="21"/>
                <w:szCs w:val="21"/>
              </w:rPr>
              <w:t xml:space="preserve"> The vulnerability appears in the processing.msstyles The process of the file</w:t>
            </w:r>
          </w:p>
          <w:p>
            <w:pPr>
              <w:rPr>
                <w:rFonts w:ascii="Calibri" w:hAnsi="Calibri"/>
                <w:sz w:val="21"/>
                <w:szCs w:val="21"/>
              </w:rPr>
            </w:pPr>
            <w:r>
              <w:rPr>
                <w:rFonts w:ascii="Calibri" w:hAnsi="Calibri"/>
                <w:sz w:val="21"/>
                <w:szCs w:val="21"/>
              </w:rPr>
              <w:t>In loading.msstyles Document when, uxtheme. The LoadThemeLibrary function in dll will check the version of the subject. It does the version checking by loading a resource named PACKTHEM_VERSION. If the read has the version number 999, it calls the function ReviseVersionIfNecessary.</w:t>
            </w:r>
          </w:p>
          <w:p>
            <w:pPr>
              <w:rPr>
                <w:rFonts w:ascii="Calibri" w:hAnsi="Calibri"/>
                <w:sz w:val="21"/>
                <w:szCs w:val="21"/>
              </w:rPr>
            </w:pPr>
            <w:r>
              <w:drawing>
                <wp:inline distT="0" distB="0" distL="0" distR="0">
                  <wp:extent cx="4395470" cy="4171950"/>
                  <wp:effectExtent l="0" t="0" r="0" b="0"/>
                  <wp:docPr id="441944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44766" name="图片 1"/>
                          <pic:cNvPicPr>
                            <a:picLocks noChangeAspect="1"/>
                          </pic:cNvPicPr>
                        </pic:nvPicPr>
                        <pic:blipFill>
                          <a:blip r:embed="rId13"/>
                          <a:stretch>
                            <a:fillRect/>
                          </a:stretch>
                        </pic:blipFill>
                        <pic:spPr>
                          <a:xfrm>
                            <a:off x="0" y="0"/>
                            <a:ext cx="4395470" cy="4171950"/>
                          </a:xfrm>
                          <a:prstGeom prst="rect">
                            <a:avLst/>
                          </a:prstGeom>
                        </pic:spPr>
                      </pic:pic>
                    </a:graphicData>
                  </a:graphic>
                </wp:inline>
              </w:drawing>
            </w:r>
          </w:p>
          <w:p>
            <w:pPr>
              <w:tabs>
                <w:tab w:val="left" w:pos="1185"/>
              </w:tabs>
              <w:rPr>
                <w:rFonts w:ascii="Calibri" w:hAnsi="Calibri"/>
                <w:sz w:val="21"/>
                <w:szCs w:val="21"/>
              </w:rPr>
            </w:pPr>
            <w:r>
              <w:rPr>
                <w:rFonts w:ascii="Calibri" w:hAnsi="Calibri"/>
                <w:sz w:val="21"/>
                <w:szCs w:val="21"/>
              </w:rPr>
              <w:t xml:space="preserve"> The ReviseVersionIfNecessary function does the following:</w:t>
            </w:r>
          </w:p>
          <w:p>
            <w:pPr>
              <w:tabs>
                <w:tab w:val="left" w:pos="1185"/>
              </w:tabs>
              <w:rPr>
                <w:rFonts w:ascii="Calibri" w:hAnsi="Calibri"/>
                <w:sz w:val="21"/>
                <w:szCs w:val="21"/>
              </w:rPr>
            </w:pPr>
            <w:r>
              <w:rPr>
                <w:rFonts w:ascii="Calibri" w:hAnsi="Calibri"/>
                <w:sz w:val="21"/>
                <w:szCs w:val="21"/>
              </w:rPr>
              <w:t>1. Through the in.msstyles File path is attached after the " _ vrf. To dll " to create a new file path.</w:t>
            </w:r>
          </w:p>
          <w:p>
            <w:pPr>
              <w:tabs>
                <w:tab w:val="left" w:pos="1185"/>
              </w:tabs>
              <w:rPr>
                <w:rFonts w:ascii="Calibri" w:hAnsi="Calibri"/>
                <w:sz w:val="21"/>
                <w:szCs w:val="21"/>
              </w:rPr>
            </w:pPr>
            <w:r>
              <w:rPr>
                <w:rFonts w:ascii="Calibri" w:hAnsi="Calibri"/>
                <w:sz w:val="21"/>
                <w:szCs w:val="21"/>
              </w:rPr>
              <w:t>2. Check out this new " _ vrf. Does the dll " file exist. If not, exit.</w:t>
            </w:r>
          </w:p>
          <w:p>
            <w:pPr>
              <w:tabs>
                <w:tab w:val="left" w:pos="1185"/>
              </w:tabs>
              <w:rPr>
                <w:rFonts w:ascii="Calibri" w:hAnsi="Calibri"/>
                <w:sz w:val="21"/>
                <w:szCs w:val="21"/>
              </w:rPr>
            </w:pPr>
            <w:r>
              <w:rPr>
                <w:rFonts w:ascii="Calibri" w:hAnsi="Calibri"/>
                <w:sz w:val="21"/>
                <w:szCs w:val="21"/>
              </w:rPr>
              <w:t>3. Open the words " _ vrf.dll" document.</w:t>
            </w:r>
          </w:p>
          <w:p>
            <w:pPr>
              <w:tabs>
                <w:tab w:val="left" w:pos="1185"/>
              </w:tabs>
              <w:rPr>
                <w:rFonts w:ascii="Calibri" w:hAnsi="Calibri"/>
                <w:sz w:val="21"/>
                <w:szCs w:val="21"/>
              </w:rPr>
            </w:pPr>
            <w:r>
              <w:rPr>
                <w:rFonts w:ascii="Calibri" w:hAnsi="Calibri"/>
                <w:sz w:val="21"/>
                <w:szCs w:val="21"/>
              </w:rPr>
              <w:t>4. Verify that the " _ vrf. Signing of the dll " file. Exit if the signature is invalid.</w:t>
            </w:r>
          </w:p>
          <w:p>
            <w:pPr>
              <w:tabs>
                <w:tab w:val="left" w:pos="1185"/>
              </w:tabs>
              <w:rPr>
                <w:rFonts w:ascii="Calibri" w:hAnsi="Calibri"/>
                <w:sz w:val="21"/>
                <w:szCs w:val="21"/>
              </w:rPr>
            </w:pPr>
            <w:r>
              <w:rPr>
                <w:rFonts w:ascii="Calibri" w:hAnsi="Calibri"/>
                <w:sz w:val="21"/>
                <w:szCs w:val="21"/>
              </w:rPr>
              <w:t>5. Close the " _ vrf.dll" document.</w:t>
            </w:r>
          </w:p>
          <w:p>
            <w:pPr>
              <w:tabs>
                <w:tab w:val="left" w:pos="1185"/>
              </w:tabs>
              <w:rPr>
                <w:rFonts w:ascii="Calibri" w:hAnsi="Calibri"/>
                <w:sz w:val="21"/>
                <w:szCs w:val="21"/>
              </w:rPr>
            </w:pPr>
            <w:r>
              <w:rPr>
                <w:rFonts w:ascii="Calibri" w:hAnsi="Calibri"/>
                <w:sz w:val="21"/>
                <w:szCs w:val="21"/>
              </w:rPr>
              <w:t>6. Will " _ vrf. The dll " file is loaded as a DLL and calls the VerifyThemeVersion function.</w:t>
            </w:r>
          </w:p>
          <w:p>
            <w:pPr>
              <w:tabs>
                <w:tab w:val="left" w:pos="1185"/>
              </w:tabs>
              <w:rPr>
                <w:rFonts w:ascii="Calibri" w:hAnsi="Calibri"/>
                <w:sz w:val="21"/>
                <w:szCs w:val="21"/>
              </w:rPr>
            </w:pPr>
            <w:r>
              <w:rPr>
                <w:rFonts w:hint="eastAsia" w:ascii="Calibri" w:hAnsi="Calibri"/>
                <w:sz w:val="21"/>
                <w:szCs w:val="21"/>
              </w:rPr>
              <w:t>Since ReviseVersionIfNecessary closed _ vrf in step 5 after checking the signature. The dll file only calls the LoadLibrary loading dll in step 6, resulting in a competition window between the two steps, the attacker can replace the dll file with the malicious file, after which the malicious dll will be loaded and executed.</w:t>
            </w:r>
          </w:p>
          <w:p>
            <w:pPr>
              <w:tabs>
                <w:tab w:val="left" w:pos="1185"/>
              </w:tabs>
              <w:rPr>
                <w:rFonts w:ascii="Calibri" w:hAnsi="Calibri"/>
                <w:sz w:val="21"/>
                <w:szCs w:val="21"/>
              </w:rPr>
            </w:pPr>
            <w:r>
              <w:drawing>
                <wp:inline distT="0" distB="0" distL="0" distR="0">
                  <wp:extent cx="4395470" cy="4069080"/>
                  <wp:effectExtent l="0" t="0" r="0" b="0"/>
                  <wp:docPr id="188313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3350" name="图片 1"/>
                          <pic:cNvPicPr>
                            <a:picLocks noChangeAspect="1"/>
                          </pic:cNvPicPr>
                        </pic:nvPicPr>
                        <pic:blipFill>
                          <a:blip r:embed="rId14"/>
                          <a:stretch>
                            <a:fillRect/>
                          </a:stretch>
                        </pic:blipFill>
                        <pic:spPr>
                          <a:xfrm>
                            <a:off x="0" y="0"/>
                            <a:ext cx="4395470" cy="4069080"/>
                          </a:xfrm>
                          <a:prstGeom prst="rect">
                            <a:avLst/>
                          </a:prstGeom>
                        </pic:spPr>
                      </pic:pic>
                    </a:graphicData>
                  </a:graphic>
                </wp:inline>
              </w:drawing>
            </w:r>
          </w:p>
          <w:p>
            <w:pPr>
              <w:tabs>
                <w:tab w:val="left" w:pos="1185"/>
              </w:tabs>
              <w:rPr>
                <w:rFonts w:ascii="Calibri" w:hAnsi="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9" w:hRule="atLeast"/>
        </w:trPr>
        <w:tc>
          <w:tcPr>
            <w:tcW w:w="1384" w:type="dxa"/>
            <w:vAlign w:val="center"/>
          </w:tcPr>
          <w:p>
            <w:pPr>
              <w:adjustRightInd w:val="0"/>
              <w:snapToGrid w:val="0"/>
              <w:jc w:val="both"/>
              <w:rPr>
                <w:b/>
                <w:sz w:val="21"/>
                <w:szCs w:val="21"/>
              </w:rPr>
            </w:pPr>
            <w:r>
              <w:rPr>
                <w:rFonts w:hint="eastAsia" w:ascii="Calibri" w:hAnsi="Calibri"/>
                <w:b/>
                <w:sz w:val="21"/>
                <w:szCs w:val="21"/>
              </w:rPr>
              <w:t>Use the description results and screenshots</w:t>
            </w:r>
          </w:p>
        </w:tc>
        <w:tc>
          <w:tcPr>
            <w:tcW w:w="7138" w:type="dxa"/>
          </w:tcPr>
          <w:p>
            <w:pPr>
              <w:tabs>
                <w:tab w:val="left" w:pos="1185"/>
              </w:tabs>
              <w:rPr>
                <w:rFonts w:ascii="Calibri" w:hAnsi="Calibri"/>
                <w:sz w:val="21"/>
                <w:szCs w:val="21"/>
              </w:rPr>
            </w:pPr>
            <w:r>
              <w:rPr>
                <w:rFonts w:hint="eastAsia" w:ascii="Calibri" w:hAnsi="Calibri"/>
                <w:sz w:val="21"/>
                <w:szCs w:val="21"/>
              </w:rPr>
              <w:t>Environmental preparation:</w:t>
            </w:r>
          </w:p>
          <w:p>
            <w:pPr>
              <w:tabs>
                <w:tab w:val="left" w:pos="1185"/>
              </w:tabs>
              <w:ind w:firstLine="420" w:firstLineChars="200"/>
              <w:rPr>
                <w:rFonts w:ascii="Calibri" w:hAnsi="Calibri"/>
                <w:sz w:val="21"/>
                <w:szCs w:val="21"/>
              </w:rPr>
            </w:pPr>
            <w:r>
              <w:rPr>
                <w:rFonts w:hint="eastAsia" w:ascii="Calibri" w:hAnsi="Calibri"/>
                <w:sz w:val="21"/>
                <w:szCs w:val="21"/>
              </w:rPr>
              <w:t>attack plane:</w:t>
            </w:r>
          </w:p>
          <w:p>
            <w:pPr>
              <w:tabs>
                <w:tab w:val="left" w:pos="1185"/>
              </w:tabs>
              <w:ind w:firstLine="840" w:firstLineChars="400"/>
              <w:rPr>
                <w:rFonts w:ascii="Calibri" w:hAnsi="Calibri"/>
                <w:sz w:val="21"/>
                <w:szCs w:val="21"/>
              </w:rPr>
            </w:pPr>
            <w:r>
              <w:rPr>
                <w:rFonts w:ascii="Calibri" w:hAnsi="Calibri"/>
                <w:sz w:val="21"/>
                <w:szCs w:val="21"/>
              </w:rPr>
              <w:t>Either Windows 10, or 11</w:t>
            </w:r>
          </w:p>
          <w:p>
            <w:pPr>
              <w:tabs>
                <w:tab w:val="left" w:pos="1185"/>
              </w:tabs>
              <w:ind w:firstLine="840" w:firstLineChars="400"/>
              <w:rPr>
                <w:rFonts w:ascii="Calibri" w:hAnsi="Calibri"/>
                <w:sz w:val="21"/>
                <w:szCs w:val="21"/>
              </w:rPr>
            </w:pPr>
            <w:r>
              <w:rPr>
                <w:rFonts w:hint="eastAsia" w:ascii="Calibri" w:hAnsi="Calibri"/>
                <w:sz w:val="21"/>
                <w:szCs w:val="21"/>
              </w:rPr>
              <w:t>Disable Server Service Release SMB port (restart machine after disabled)</w:t>
            </w:r>
          </w:p>
          <w:p>
            <w:pPr>
              <w:tabs>
                <w:tab w:val="left" w:pos="1185"/>
              </w:tabs>
              <w:ind w:firstLine="840" w:firstLineChars="400"/>
              <w:rPr>
                <w:rFonts w:ascii="Calibri" w:hAnsi="Calibri"/>
                <w:sz w:val="21"/>
                <w:szCs w:val="21"/>
              </w:rPr>
            </w:pPr>
            <w:r>
              <w:rPr>
                <w:rFonts w:hint="eastAsia" w:ascii="Calibri" w:hAnsi="Calibri"/>
                <w:sz w:val="21"/>
                <w:szCs w:val="21"/>
              </w:rPr>
              <w:t>Install the latest version.Net</w:t>
            </w:r>
          </w:p>
          <w:p>
            <w:pPr>
              <w:tabs>
                <w:tab w:val="left" w:pos="1185"/>
              </w:tabs>
              <w:ind w:firstLine="840" w:firstLineChars="400"/>
              <w:rPr>
                <w:rFonts w:ascii="Calibri" w:hAnsi="Calibri"/>
                <w:sz w:val="21"/>
                <w:szCs w:val="21"/>
              </w:rPr>
            </w:pPr>
            <w:r>
              <w:rPr>
                <w:rFonts w:hint="eastAsia" w:ascii="Calibri" w:hAnsi="Calibri"/>
                <w:sz w:val="21"/>
                <w:szCs w:val="21"/>
              </w:rPr>
              <w:t>The target machine can be accessed</w:t>
            </w:r>
          </w:p>
          <w:p>
            <w:pPr>
              <w:tabs>
                <w:tab w:val="left" w:pos="1185"/>
              </w:tabs>
              <w:rPr>
                <w:rFonts w:ascii="Calibri" w:hAnsi="Calibri"/>
                <w:sz w:val="21"/>
                <w:szCs w:val="21"/>
              </w:rPr>
            </w:pPr>
            <w:r>
              <w:rPr>
                <w:rFonts w:hint="eastAsia" w:ascii="Calibri" w:hAnsi="Calibri"/>
                <w:sz w:val="21"/>
                <w:szCs w:val="21"/>
              </w:rPr>
              <w:t>drone aircraft:</w:t>
            </w:r>
          </w:p>
          <w:p>
            <w:pPr>
              <w:tabs>
                <w:tab w:val="left" w:pos="1185"/>
              </w:tabs>
              <w:rPr>
                <w:rFonts w:ascii="Calibri" w:hAnsi="Calibri"/>
                <w:sz w:val="21"/>
                <w:szCs w:val="21"/>
              </w:rPr>
            </w:pPr>
            <w:r>
              <w:rPr>
                <w:rFonts w:hint="eastAsia" w:ascii="Calibri" w:hAnsi="Calibri"/>
                <w:sz w:val="21"/>
                <w:szCs w:val="21"/>
              </w:rPr>
              <w:t>No Windows 11 for the September 2023 patch is installed</w:t>
            </w:r>
          </w:p>
          <w:p>
            <w:pPr>
              <w:tabs>
                <w:tab w:val="left" w:pos="1185"/>
              </w:tabs>
              <w:rPr>
                <w:rFonts w:ascii="Calibri" w:hAnsi="Calibri"/>
                <w:sz w:val="21"/>
                <w:szCs w:val="21"/>
              </w:rPr>
            </w:pPr>
            <w:r>
              <w:rPr>
                <w:rFonts w:hint="eastAsia" w:ascii="Calibri" w:hAnsi="Calibri"/>
                <w:sz w:val="21"/>
                <w:szCs w:val="21"/>
              </w:rPr>
              <w:t>Recreation steps:</w:t>
            </w:r>
          </w:p>
          <w:p>
            <w:pPr>
              <w:pStyle w:val="35"/>
              <w:numPr>
                <w:ilvl w:val="0"/>
                <w:numId w:val="2"/>
              </w:numPr>
              <w:tabs>
                <w:tab w:val="left" w:pos="1185"/>
              </w:tabs>
              <w:ind w:firstLineChars="0"/>
              <w:rPr>
                <w:rFonts w:ascii="Calibri" w:hAnsi="Calibri"/>
                <w:sz w:val="21"/>
                <w:szCs w:val="21"/>
              </w:rPr>
            </w:pPr>
            <w:r>
              <w:rPr>
                <w:rFonts w:ascii="Calibri" w:hAnsi="Calibri"/>
                <w:sz w:val="21"/>
                <w:szCs w:val="21"/>
              </w:rPr>
              <w:t>Run the following command on the attack machine to make it.theme File: themebleed.exe make_theme  &lt;attacker machine ip &gt; exploit.theme</w:t>
            </w:r>
          </w:p>
          <w:p>
            <w:pPr>
              <w:pStyle w:val="35"/>
              <w:numPr>
                <w:ilvl w:val="0"/>
                <w:numId w:val="2"/>
              </w:numPr>
              <w:tabs>
                <w:tab w:val="left" w:pos="1185"/>
              </w:tabs>
              <w:ind w:firstLineChars="0"/>
              <w:rPr>
                <w:rFonts w:ascii="Calibri" w:hAnsi="Calibri"/>
                <w:sz w:val="21"/>
                <w:szCs w:val="21"/>
              </w:rPr>
            </w:pPr>
            <w:r>
              <w:rPr>
                <w:rFonts w:ascii="Calibri" w:hAnsi="Calibri"/>
                <w:sz w:val="21"/>
                <w:szCs w:val="21"/>
              </w:rPr>
              <w:t>Run the themebleed on the attack machine.exe server</w:t>
            </w:r>
          </w:p>
          <w:p>
            <w:pPr>
              <w:pStyle w:val="35"/>
              <w:numPr>
                <w:ilvl w:val="0"/>
                <w:numId w:val="2"/>
              </w:numPr>
              <w:tabs>
                <w:tab w:val="left" w:pos="1185"/>
              </w:tabs>
              <w:ind w:firstLineChars="0"/>
              <w:rPr>
                <w:rFonts w:ascii="Calibri" w:hAnsi="Calibri"/>
                <w:sz w:val="21"/>
                <w:szCs w:val="21"/>
              </w:rPr>
            </w:pPr>
            <w:r>
              <w:rPr>
                <w:rFonts w:ascii="Calibri" w:hAnsi="Calibri"/>
                <w:sz w:val="21"/>
                <w:szCs w:val="21"/>
              </w:rPr>
              <w:t>Target machine to open the exploit.theme</w:t>
            </w:r>
          </w:p>
          <w:p>
            <w:pPr>
              <w:spacing w:line="360" w:lineRule="auto"/>
              <w:rPr>
                <w:rFonts w:ascii="Calibri" w:hAnsi="Calibri"/>
                <w:sz w:val="21"/>
                <w:szCs w:val="21"/>
              </w:rPr>
            </w:pPr>
          </w:p>
          <w:p>
            <w:pPr>
              <w:spacing w:line="360" w:lineRule="auto"/>
              <w:rPr>
                <w:rFonts w:ascii="Calibri" w:hAnsi="Calibri"/>
                <w:sz w:val="21"/>
                <w:szCs w:val="21"/>
              </w:rPr>
            </w:pPr>
            <w:r>
              <w:rPr>
                <w:rFonts w:hint="eastAsia" w:ascii="Calibri" w:hAnsi="Calibri"/>
                <w:sz w:val="21"/>
                <w:szCs w:val="21"/>
              </w:rPr>
              <w:t>PoC Repeat Results:</w:t>
            </w:r>
          </w:p>
          <w:p>
            <w:pPr>
              <w:spacing w:line="360" w:lineRule="auto"/>
              <w:rPr>
                <w:rFonts w:ascii="Calibri" w:hAnsi="Calibri"/>
                <w:sz w:val="21"/>
                <w:szCs w:val="21"/>
              </w:rPr>
            </w:pPr>
            <w:r>
              <w:drawing>
                <wp:inline distT="0" distB="0" distL="0" distR="0">
                  <wp:extent cx="4102735" cy="2816225"/>
                  <wp:effectExtent l="0" t="0" r="0" b="0"/>
                  <wp:docPr id="1468086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86131" name="图片 1"/>
                          <pic:cNvPicPr>
                            <a:picLocks noChangeAspect="1"/>
                          </pic:cNvPicPr>
                        </pic:nvPicPr>
                        <pic:blipFill>
                          <a:blip r:embed="rId15"/>
                          <a:stretch>
                            <a:fillRect/>
                          </a:stretch>
                        </pic:blipFill>
                        <pic:spPr>
                          <a:xfrm>
                            <a:off x="0" y="0"/>
                            <a:ext cx="4109535" cy="2821224"/>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drawing>
                <wp:inline distT="0" distB="0" distL="0" distR="0">
                  <wp:extent cx="4412615" cy="2216785"/>
                  <wp:effectExtent l="0" t="0" r="0" b="0"/>
                  <wp:docPr id="324041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41964"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50139" cy="2235999"/>
                          </a:xfrm>
                          <a:prstGeom prst="rect">
                            <a:avLst/>
                          </a:prstGeom>
                          <a:noFill/>
                          <a:ln>
                            <a:noFill/>
                          </a:ln>
                        </pic:spPr>
                      </pic:pic>
                    </a:graphicData>
                  </a:graphic>
                </wp:inline>
              </w:drawing>
            </w:r>
          </w:p>
          <w:p>
            <w:pPr>
              <w:spacing w:line="360" w:lineRule="auto"/>
              <w:rPr>
                <w:rFonts w:ascii="Calibri" w:hAnsi="Calibri"/>
                <w:sz w:val="21"/>
                <w:szCs w:val="21"/>
              </w:rPr>
            </w:pPr>
          </w:p>
        </w:tc>
      </w:tr>
    </w:tbl>
    <w:p>
      <w:pPr>
        <w:rPr>
          <w:rFonts w:ascii="Calibri" w:hAnsi="Calibri" w:eastAsia="微软雅黑"/>
          <w:b/>
          <w:sz w:val="28"/>
          <w:szCs w:val="28"/>
        </w:rPr>
      </w:pPr>
    </w:p>
    <w:p>
      <w:pPr>
        <w:pStyle w:val="21"/>
        <w:spacing w:before="156" w:beforeLines="50" w:after="156" w:afterLines="50"/>
        <w:outlineLvl w:val="0"/>
        <w:rPr>
          <w:rFonts w:ascii="Calibri" w:hAnsi="Calibri" w:eastAsia="黑体"/>
          <w:sz w:val="32"/>
          <w:szCs w:val="32"/>
        </w:rPr>
      </w:pPr>
      <w:bookmarkStart w:id="5" w:name="_Toc146125694"/>
      <w:bookmarkStart w:id="6" w:name="_Toc122617802"/>
      <w:r>
        <w:rPr>
          <w:rFonts w:hint="eastAsia" w:ascii="Calibri" w:hAnsi="Calibri" w:eastAsia="黑体"/>
          <w:sz w:val="32"/>
          <w:szCs w:val="32"/>
        </w:rPr>
        <w:t>Vi. Use of monitoring and protection</w:t>
      </w:r>
      <w:bookmarkEnd w:id="5"/>
      <w:bookmarkEnd w:id="6"/>
    </w:p>
    <w:p>
      <w:pPr>
        <w:rPr>
          <w:rFonts w:ascii="Calibri" w:hAnsi="Calibri"/>
          <w:sz w:val="28"/>
          <w:szCs w:val="28"/>
        </w:rPr>
      </w:pPr>
      <w:bookmarkStart w:id="7" w:name="_Toc129766541"/>
      <w:bookmarkStart w:id="8" w:name="_Toc5040"/>
      <w:bookmarkStart w:id="9" w:name="_Toc133513892"/>
      <w:bookmarkStart w:id="10" w:name="_Toc74125788"/>
      <w:r>
        <w:rPr>
          <w:rFonts w:hint="eastAsia" w:ascii="Calibri" w:hAnsi="Calibri"/>
          <w:b/>
          <w:bCs/>
          <w:sz w:val="28"/>
          <w:szCs w:val="28"/>
        </w:rPr>
        <w:t>6.1 Threat hunting ideas and methods</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p>
      <w:pPr>
        <w:rPr>
          <w:rFonts w:ascii="Calibri" w:hAnsi="Calibri"/>
          <w:sz w:val="28"/>
          <w:szCs w:val="28"/>
        </w:rPr>
      </w:pPr>
      <w:r>
        <w:rPr>
          <w:rFonts w:hint="eastAsia" w:ascii="Calibri" w:hAnsi="Calibri"/>
          <w:b/>
          <w:bCs/>
          <w:sz w:val="28"/>
          <w:szCs w:val="28"/>
        </w:rPr>
        <w:t>6.2 Detection and alarm rules and protection strategies on the safety equipment side</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bookmarkEnd w:id="7"/>
    <w:bookmarkEnd w:id="8"/>
    <w:bookmarkEnd w:id="9"/>
    <w:bookmarkEnd w:id="10"/>
    <w:p>
      <w:pPr>
        <w:rPr>
          <w:rFonts w:ascii="Calibri" w:hAnsi="Calibri"/>
          <w:sz w:val="28"/>
          <w:szCs w:val="28"/>
        </w:rPr>
      </w:pPr>
      <w:bookmarkStart w:id="11" w:name="_GoBack"/>
      <w:bookmarkEnd w:id="11"/>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YaHei UI">
    <w:panose1 w:val="020B0503020204020204"/>
    <w:charset w:val="86"/>
    <w:family w:val="swiss"/>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jc w:val="center"/>
      <w:rPr>
        <w:rFonts w:hint="eastAsia" w:ascii="Calibri" w:hAnsi="Calibri"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ascii="Calibri" w:hAnsi="Calibri"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jc w:val="both"/>
      <w:rPr>
        <w:rFonts w:ascii="Calibri" w:hAnsi="Calibr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1086B"/>
    <w:multiLevelType w:val="multilevel"/>
    <w:tmpl w:val="2F91086B"/>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5731F6F"/>
    <w:multiLevelType w:val="multilevel"/>
    <w:tmpl w:val="75731F6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TY1OTcxYWE3MWRjYzY3N2I3OGZlYjk4MWY3Yzk5Y2EifQ=="/>
  </w:docVars>
  <w:rsids>
    <w:rsidRoot w:val="00C4735E"/>
    <w:rsid w:val="0000246A"/>
    <w:rsid w:val="0000371F"/>
    <w:rsid w:val="0000514C"/>
    <w:rsid w:val="000064FD"/>
    <w:rsid w:val="0001126F"/>
    <w:rsid w:val="000118C1"/>
    <w:rsid w:val="00014000"/>
    <w:rsid w:val="0001485B"/>
    <w:rsid w:val="0002121A"/>
    <w:rsid w:val="00025180"/>
    <w:rsid w:val="00026B49"/>
    <w:rsid w:val="000348FF"/>
    <w:rsid w:val="0003681F"/>
    <w:rsid w:val="00036C1D"/>
    <w:rsid w:val="00041B2D"/>
    <w:rsid w:val="00042AF2"/>
    <w:rsid w:val="00043F0C"/>
    <w:rsid w:val="0004432E"/>
    <w:rsid w:val="00045AB8"/>
    <w:rsid w:val="00045CA6"/>
    <w:rsid w:val="00045D24"/>
    <w:rsid w:val="00046480"/>
    <w:rsid w:val="00046EB2"/>
    <w:rsid w:val="00047668"/>
    <w:rsid w:val="000477C8"/>
    <w:rsid w:val="0005637C"/>
    <w:rsid w:val="00056A3C"/>
    <w:rsid w:val="00057013"/>
    <w:rsid w:val="00057D9D"/>
    <w:rsid w:val="00060962"/>
    <w:rsid w:val="00061BD3"/>
    <w:rsid w:val="00062BEB"/>
    <w:rsid w:val="0006344C"/>
    <w:rsid w:val="00067A81"/>
    <w:rsid w:val="00071845"/>
    <w:rsid w:val="0007266B"/>
    <w:rsid w:val="00072A12"/>
    <w:rsid w:val="00072F0E"/>
    <w:rsid w:val="00072FA9"/>
    <w:rsid w:val="00076E8B"/>
    <w:rsid w:val="0008304D"/>
    <w:rsid w:val="00083C9F"/>
    <w:rsid w:val="00086804"/>
    <w:rsid w:val="00086A5C"/>
    <w:rsid w:val="0008750B"/>
    <w:rsid w:val="000973BF"/>
    <w:rsid w:val="000A10F2"/>
    <w:rsid w:val="000A324A"/>
    <w:rsid w:val="000A3547"/>
    <w:rsid w:val="000A3603"/>
    <w:rsid w:val="000A79D8"/>
    <w:rsid w:val="000B1B52"/>
    <w:rsid w:val="000B2391"/>
    <w:rsid w:val="000B40DE"/>
    <w:rsid w:val="000B5A07"/>
    <w:rsid w:val="000C554E"/>
    <w:rsid w:val="000C71F8"/>
    <w:rsid w:val="000D246E"/>
    <w:rsid w:val="000D648B"/>
    <w:rsid w:val="000D78F4"/>
    <w:rsid w:val="000E27D8"/>
    <w:rsid w:val="000E798B"/>
    <w:rsid w:val="000E7D37"/>
    <w:rsid w:val="000F19C8"/>
    <w:rsid w:val="000F54E5"/>
    <w:rsid w:val="000F6FD7"/>
    <w:rsid w:val="00100612"/>
    <w:rsid w:val="00104716"/>
    <w:rsid w:val="0010502D"/>
    <w:rsid w:val="0010587F"/>
    <w:rsid w:val="00111265"/>
    <w:rsid w:val="00111BC7"/>
    <w:rsid w:val="001142D7"/>
    <w:rsid w:val="00115776"/>
    <w:rsid w:val="00116EA1"/>
    <w:rsid w:val="001242B5"/>
    <w:rsid w:val="00127F0C"/>
    <w:rsid w:val="00140A49"/>
    <w:rsid w:val="00146B97"/>
    <w:rsid w:val="00151439"/>
    <w:rsid w:val="001525C4"/>
    <w:rsid w:val="00153B4D"/>
    <w:rsid w:val="00155085"/>
    <w:rsid w:val="00156AF6"/>
    <w:rsid w:val="0015788E"/>
    <w:rsid w:val="00157DD4"/>
    <w:rsid w:val="0016013C"/>
    <w:rsid w:val="001638C4"/>
    <w:rsid w:val="00165D5E"/>
    <w:rsid w:val="0016711B"/>
    <w:rsid w:val="00170E51"/>
    <w:rsid w:val="00173E70"/>
    <w:rsid w:val="00176875"/>
    <w:rsid w:val="001851BA"/>
    <w:rsid w:val="001920B4"/>
    <w:rsid w:val="00192F0D"/>
    <w:rsid w:val="001A6C4C"/>
    <w:rsid w:val="001B21D1"/>
    <w:rsid w:val="001B4ABC"/>
    <w:rsid w:val="001B4E68"/>
    <w:rsid w:val="001B5358"/>
    <w:rsid w:val="001B7B94"/>
    <w:rsid w:val="001C165E"/>
    <w:rsid w:val="001C25A9"/>
    <w:rsid w:val="001C2C79"/>
    <w:rsid w:val="001C4F24"/>
    <w:rsid w:val="001C6B95"/>
    <w:rsid w:val="001C6D2C"/>
    <w:rsid w:val="001D230E"/>
    <w:rsid w:val="001D3214"/>
    <w:rsid w:val="001E0799"/>
    <w:rsid w:val="001E285A"/>
    <w:rsid w:val="001E79B9"/>
    <w:rsid w:val="001F0225"/>
    <w:rsid w:val="001F227B"/>
    <w:rsid w:val="001F50D0"/>
    <w:rsid w:val="001F6136"/>
    <w:rsid w:val="001F72F9"/>
    <w:rsid w:val="001F7B3D"/>
    <w:rsid w:val="00202D12"/>
    <w:rsid w:val="0020460A"/>
    <w:rsid w:val="002050EB"/>
    <w:rsid w:val="00210FB6"/>
    <w:rsid w:val="00212DDA"/>
    <w:rsid w:val="00216ED7"/>
    <w:rsid w:val="00221A89"/>
    <w:rsid w:val="002241CE"/>
    <w:rsid w:val="00224999"/>
    <w:rsid w:val="00226BA8"/>
    <w:rsid w:val="00233E44"/>
    <w:rsid w:val="0023564C"/>
    <w:rsid w:val="0024422A"/>
    <w:rsid w:val="0024482A"/>
    <w:rsid w:val="00253A13"/>
    <w:rsid w:val="00253AA5"/>
    <w:rsid w:val="00262D96"/>
    <w:rsid w:val="00262F02"/>
    <w:rsid w:val="00265135"/>
    <w:rsid w:val="002725CD"/>
    <w:rsid w:val="00273A6D"/>
    <w:rsid w:val="002754D7"/>
    <w:rsid w:val="00277641"/>
    <w:rsid w:val="00277CAE"/>
    <w:rsid w:val="002834AD"/>
    <w:rsid w:val="00283905"/>
    <w:rsid w:val="00284644"/>
    <w:rsid w:val="00285DCF"/>
    <w:rsid w:val="0029375A"/>
    <w:rsid w:val="00294D16"/>
    <w:rsid w:val="002962EF"/>
    <w:rsid w:val="00297276"/>
    <w:rsid w:val="002A00C7"/>
    <w:rsid w:val="002A2F82"/>
    <w:rsid w:val="002A364A"/>
    <w:rsid w:val="002A497D"/>
    <w:rsid w:val="002A4C0B"/>
    <w:rsid w:val="002A4E7E"/>
    <w:rsid w:val="002B14BA"/>
    <w:rsid w:val="002C537A"/>
    <w:rsid w:val="002C733D"/>
    <w:rsid w:val="002D132F"/>
    <w:rsid w:val="002D1F2B"/>
    <w:rsid w:val="002D5037"/>
    <w:rsid w:val="002E4B99"/>
    <w:rsid w:val="002E4C91"/>
    <w:rsid w:val="002E5395"/>
    <w:rsid w:val="0030107F"/>
    <w:rsid w:val="003048EB"/>
    <w:rsid w:val="0030522D"/>
    <w:rsid w:val="00306BFD"/>
    <w:rsid w:val="00312F5A"/>
    <w:rsid w:val="00315442"/>
    <w:rsid w:val="00317375"/>
    <w:rsid w:val="003174D7"/>
    <w:rsid w:val="003201DE"/>
    <w:rsid w:val="00330DE2"/>
    <w:rsid w:val="003335F7"/>
    <w:rsid w:val="0033540A"/>
    <w:rsid w:val="003366CB"/>
    <w:rsid w:val="00341C95"/>
    <w:rsid w:val="00347791"/>
    <w:rsid w:val="00350AC4"/>
    <w:rsid w:val="0035213E"/>
    <w:rsid w:val="003523BE"/>
    <w:rsid w:val="00355137"/>
    <w:rsid w:val="0035793B"/>
    <w:rsid w:val="00360074"/>
    <w:rsid w:val="0036069D"/>
    <w:rsid w:val="00367E8C"/>
    <w:rsid w:val="00371617"/>
    <w:rsid w:val="003779A1"/>
    <w:rsid w:val="0038236A"/>
    <w:rsid w:val="00383A68"/>
    <w:rsid w:val="00384366"/>
    <w:rsid w:val="0038497D"/>
    <w:rsid w:val="00384993"/>
    <w:rsid w:val="00387C0F"/>
    <w:rsid w:val="0039133B"/>
    <w:rsid w:val="003954D3"/>
    <w:rsid w:val="00395FFB"/>
    <w:rsid w:val="00396DC9"/>
    <w:rsid w:val="003A67CE"/>
    <w:rsid w:val="003B2236"/>
    <w:rsid w:val="003B2344"/>
    <w:rsid w:val="003B47E5"/>
    <w:rsid w:val="003C3935"/>
    <w:rsid w:val="003C3E4C"/>
    <w:rsid w:val="003C65C6"/>
    <w:rsid w:val="003C6C39"/>
    <w:rsid w:val="003D023E"/>
    <w:rsid w:val="003D10FD"/>
    <w:rsid w:val="003D5164"/>
    <w:rsid w:val="003D5589"/>
    <w:rsid w:val="003D6F2C"/>
    <w:rsid w:val="003E18EB"/>
    <w:rsid w:val="003E4B5E"/>
    <w:rsid w:val="003E660D"/>
    <w:rsid w:val="003F04AC"/>
    <w:rsid w:val="003F07C1"/>
    <w:rsid w:val="003F5B50"/>
    <w:rsid w:val="003F716A"/>
    <w:rsid w:val="003F7E34"/>
    <w:rsid w:val="00403213"/>
    <w:rsid w:val="00413173"/>
    <w:rsid w:val="004166A5"/>
    <w:rsid w:val="00421112"/>
    <w:rsid w:val="00421831"/>
    <w:rsid w:val="00423285"/>
    <w:rsid w:val="004240B0"/>
    <w:rsid w:val="00425F42"/>
    <w:rsid w:val="00430641"/>
    <w:rsid w:val="004325BB"/>
    <w:rsid w:val="0043356A"/>
    <w:rsid w:val="00443099"/>
    <w:rsid w:val="00443E45"/>
    <w:rsid w:val="0044411C"/>
    <w:rsid w:val="0044523F"/>
    <w:rsid w:val="00447664"/>
    <w:rsid w:val="00455947"/>
    <w:rsid w:val="0045675D"/>
    <w:rsid w:val="00457516"/>
    <w:rsid w:val="004604E2"/>
    <w:rsid w:val="00460C47"/>
    <w:rsid w:val="00462A46"/>
    <w:rsid w:val="00464802"/>
    <w:rsid w:val="00471281"/>
    <w:rsid w:val="004753A7"/>
    <w:rsid w:val="004771E6"/>
    <w:rsid w:val="0047754B"/>
    <w:rsid w:val="0047771D"/>
    <w:rsid w:val="00492227"/>
    <w:rsid w:val="00493A43"/>
    <w:rsid w:val="00495310"/>
    <w:rsid w:val="004A1039"/>
    <w:rsid w:val="004A133C"/>
    <w:rsid w:val="004A74FE"/>
    <w:rsid w:val="004B149A"/>
    <w:rsid w:val="004B4302"/>
    <w:rsid w:val="004B7802"/>
    <w:rsid w:val="004C1B4D"/>
    <w:rsid w:val="004C4021"/>
    <w:rsid w:val="004D01C9"/>
    <w:rsid w:val="004D189F"/>
    <w:rsid w:val="004D551E"/>
    <w:rsid w:val="004F0BAC"/>
    <w:rsid w:val="004F0FED"/>
    <w:rsid w:val="004F23F7"/>
    <w:rsid w:val="004F2E61"/>
    <w:rsid w:val="004F2EB3"/>
    <w:rsid w:val="004F39D1"/>
    <w:rsid w:val="005013DB"/>
    <w:rsid w:val="005044F1"/>
    <w:rsid w:val="00504E4C"/>
    <w:rsid w:val="00506B26"/>
    <w:rsid w:val="005070D9"/>
    <w:rsid w:val="005076F6"/>
    <w:rsid w:val="005113C6"/>
    <w:rsid w:val="005124AB"/>
    <w:rsid w:val="00513042"/>
    <w:rsid w:val="0051417E"/>
    <w:rsid w:val="00514B01"/>
    <w:rsid w:val="0051593D"/>
    <w:rsid w:val="00521830"/>
    <w:rsid w:val="00522053"/>
    <w:rsid w:val="005268FD"/>
    <w:rsid w:val="005274C9"/>
    <w:rsid w:val="00531015"/>
    <w:rsid w:val="00535D79"/>
    <w:rsid w:val="00536987"/>
    <w:rsid w:val="00537AE0"/>
    <w:rsid w:val="00542692"/>
    <w:rsid w:val="0054362C"/>
    <w:rsid w:val="0054784C"/>
    <w:rsid w:val="005553CD"/>
    <w:rsid w:val="00556A9E"/>
    <w:rsid w:val="005605AC"/>
    <w:rsid w:val="00561B51"/>
    <w:rsid w:val="00563ED7"/>
    <w:rsid w:val="00566636"/>
    <w:rsid w:val="00570847"/>
    <w:rsid w:val="00577117"/>
    <w:rsid w:val="005841B0"/>
    <w:rsid w:val="005847DF"/>
    <w:rsid w:val="005920C0"/>
    <w:rsid w:val="00597155"/>
    <w:rsid w:val="005A151B"/>
    <w:rsid w:val="005A1953"/>
    <w:rsid w:val="005A1994"/>
    <w:rsid w:val="005B1B15"/>
    <w:rsid w:val="005B355A"/>
    <w:rsid w:val="005B513B"/>
    <w:rsid w:val="005B6A44"/>
    <w:rsid w:val="005C2682"/>
    <w:rsid w:val="005C565E"/>
    <w:rsid w:val="005C6049"/>
    <w:rsid w:val="005C68CF"/>
    <w:rsid w:val="005D16D7"/>
    <w:rsid w:val="005E4E9F"/>
    <w:rsid w:val="005F4375"/>
    <w:rsid w:val="005F6096"/>
    <w:rsid w:val="00600C45"/>
    <w:rsid w:val="006067D3"/>
    <w:rsid w:val="0060703F"/>
    <w:rsid w:val="00615933"/>
    <w:rsid w:val="006161D2"/>
    <w:rsid w:val="00620DFF"/>
    <w:rsid w:val="00625450"/>
    <w:rsid w:val="00632FF1"/>
    <w:rsid w:val="006343E5"/>
    <w:rsid w:val="00643E41"/>
    <w:rsid w:val="006533CE"/>
    <w:rsid w:val="00655BEE"/>
    <w:rsid w:val="00661B8E"/>
    <w:rsid w:val="0066406F"/>
    <w:rsid w:val="0066716A"/>
    <w:rsid w:val="006673BB"/>
    <w:rsid w:val="006678E4"/>
    <w:rsid w:val="00667F68"/>
    <w:rsid w:val="006749FD"/>
    <w:rsid w:val="0067509F"/>
    <w:rsid w:val="0068280A"/>
    <w:rsid w:val="00686CC2"/>
    <w:rsid w:val="006A2663"/>
    <w:rsid w:val="006A61B5"/>
    <w:rsid w:val="006A7676"/>
    <w:rsid w:val="006B0B9D"/>
    <w:rsid w:val="006B237E"/>
    <w:rsid w:val="006B6F07"/>
    <w:rsid w:val="006B76E8"/>
    <w:rsid w:val="006C550A"/>
    <w:rsid w:val="006D09CB"/>
    <w:rsid w:val="006D346B"/>
    <w:rsid w:val="006D60CD"/>
    <w:rsid w:val="006D7473"/>
    <w:rsid w:val="006E0F08"/>
    <w:rsid w:val="006E6EA3"/>
    <w:rsid w:val="006F186E"/>
    <w:rsid w:val="006F4EC1"/>
    <w:rsid w:val="006F50DF"/>
    <w:rsid w:val="007029F3"/>
    <w:rsid w:val="007040DD"/>
    <w:rsid w:val="00705A52"/>
    <w:rsid w:val="00711934"/>
    <w:rsid w:val="00711CE8"/>
    <w:rsid w:val="00712CC9"/>
    <w:rsid w:val="00713603"/>
    <w:rsid w:val="007156FF"/>
    <w:rsid w:val="00717B4A"/>
    <w:rsid w:val="00722DC8"/>
    <w:rsid w:val="00727057"/>
    <w:rsid w:val="00731FCB"/>
    <w:rsid w:val="00733399"/>
    <w:rsid w:val="007334C8"/>
    <w:rsid w:val="007364BF"/>
    <w:rsid w:val="007411B0"/>
    <w:rsid w:val="00746567"/>
    <w:rsid w:val="007518A3"/>
    <w:rsid w:val="0075330D"/>
    <w:rsid w:val="00753E08"/>
    <w:rsid w:val="00754690"/>
    <w:rsid w:val="00757A31"/>
    <w:rsid w:val="00760410"/>
    <w:rsid w:val="00761BBF"/>
    <w:rsid w:val="00762682"/>
    <w:rsid w:val="00762A12"/>
    <w:rsid w:val="007640A2"/>
    <w:rsid w:val="00765858"/>
    <w:rsid w:val="0076641B"/>
    <w:rsid w:val="007674E7"/>
    <w:rsid w:val="00772838"/>
    <w:rsid w:val="00772C29"/>
    <w:rsid w:val="00775909"/>
    <w:rsid w:val="00775B79"/>
    <w:rsid w:val="0078220F"/>
    <w:rsid w:val="00785633"/>
    <w:rsid w:val="00786358"/>
    <w:rsid w:val="00796790"/>
    <w:rsid w:val="00796CBA"/>
    <w:rsid w:val="007A025A"/>
    <w:rsid w:val="007A0A77"/>
    <w:rsid w:val="007A4BA4"/>
    <w:rsid w:val="007A5B7C"/>
    <w:rsid w:val="007B06E8"/>
    <w:rsid w:val="007B09B3"/>
    <w:rsid w:val="007B58AA"/>
    <w:rsid w:val="007C20EA"/>
    <w:rsid w:val="007C3603"/>
    <w:rsid w:val="007D0212"/>
    <w:rsid w:val="007D0A32"/>
    <w:rsid w:val="007D309F"/>
    <w:rsid w:val="007D39A6"/>
    <w:rsid w:val="007D3E48"/>
    <w:rsid w:val="007D7213"/>
    <w:rsid w:val="007D7D06"/>
    <w:rsid w:val="007E3130"/>
    <w:rsid w:val="007E3AC9"/>
    <w:rsid w:val="007E3F9D"/>
    <w:rsid w:val="007E6E2E"/>
    <w:rsid w:val="007F0FBE"/>
    <w:rsid w:val="007F76F1"/>
    <w:rsid w:val="008035BF"/>
    <w:rsid w:val="00805033"/>
    <w:rsid w:val="00810847"/>
    <w:rsid w:val="0081118C"/>
    <w:rsid w:val="00814220"/>
    <w:rsid w:val="00817C63"/>
    <w:rsid w:val="00820788"/>
    <w:rsid w:val="008218F3"/>
    <w:rsid w:val="0082665E"/>
    <w:rsid w:val="00827AE0"/>
    <w:rsid w:val="00833C79"/>
    <w:rsid w:val="00835DDB"/>
    <w:rsid w:val="00835F3B"/>
    <w:rsid w:val="00837DE7"/>
    <w:rsid w:val="00843442"/>
    <w:rsid w:val="0084613D"/>
    <w:rsid w:val="00854D99"/>
    <w:rsid w:val="00855F4C"/>
    <w:rsid w:val="008579C9"/>
    <w:rsid w:val="008613F0"/>
    <w:rsid w:val="00865650"/>
    <w:rsid w:val="0087011D"/>
    <w:rsid w:val="00871424"/>
    <w:rsid w:val="00871B2A"/>
    <w:rsid w:val="008735B5"/>
    <w:rsid w:val="008826C0"/>
    <w:rsid w:val="008840C7"/>
    <w:rsid w:val="00884C3F"/>
    <w:rsid w:val="00890A1D"/>
    <w:rsid w:val="00891E4C"/>
    <w:rsid w:val="008926BC"/>
    <w:rsid w:val="00897338"/>
    <w:rsid w:val="00897DB0"/>
    <w:rsid w:val="008A0642"/>
    <w:rsid w:val="008A1B1D"/>
    <w:rsid w:val="008A4C26"/>
    <w:rsid w:val="008B0BFD"/>
    <w:rsid w:val="008B1CC8"/>
    <w:rsid w:val="008B2C26"/>
    <w:rsid w:val="008B7F80"/>
    <w:rsid w:val="008C0C3C"/>
    <w:rsid w:val="008C266E"/>
    <w:rsid w:val="008D0B57"/>
    <w:rsid w:val="008D0D2C"/>
    <w:rsid w:val="008D1459"/>
    <w:rsid w:val="008D568C"/>
    <w:rsid w:val="008D67F7"/>
    <w:rsid w:val="008D7F3C"/>
    <w:rsid w:val="008E390F"/>
    <w:rsid w:val="008E4A5A"/>
    <w:rsid w:val="008E56BA"/>
    <w:rsid w:val="008F1DE9"/>
    <w:rsid w:val="008F27B9"/>
    <w:rsid w:val="008F40DF"/>
    <w:rsid w:val="008F4106"/>
    <w:rsid w:val="008F59BD"/>
    <w:rsid w:val="008F7A07"/>
    <w:rsid w:val="008F7FF7"/>
    <w:rsid w:val="00900391"/>
    <w:rsid w:val="009035BD"/>
    <w:rsid w:val="009107A4"/>
    <w:rsid w:val="00913904"/>
    <w:rsid w:val="00917D86"/>
    <w:rsid w:val="009244B7"/>
    <w:rsid w:val="0092490B"/>
    <w:rsid w:val="00926DE5"/>
    <w:rsid w:val="00933F3D"/>
    <w:rsid w:val="00935B29"/>
    <w:rsid w:val="00942879"/>
    <w:rsid w:val="00944B6C"/>
    <w:rsid w:val="00947A27"/>
    <w:rsid w:val="00950E05"/>
    <w:rsid w:val="0095293D"/>
    <w:rsid w:val="009556C0"/>
    <w:rsid w:val="00956514"/>
    <w:rsid w:val="009565B6"/>
    <w:rsid w:val="00957FB6"/>
    <w:rsid w:val="00960027"/>
    <w:rsid w:val="00970B74"/>
    <w:rsid w:val="00970D59"/>
    <w:rsid w:val="00973E84"/>
    <w:rsid w:val="00975831"/>
    <w:rsid w:val="00977C52"/>
    <w:rsid w:val="009820BC"/>
    <w:rsid w:val="009905F4"/>
    <w:rsid w:val="00990DBE"/>
    <w:rsid w:val="0099203B"/>
    <w:rsid w:val="00992A45"/>
    <w:rsid w:val="009A1313"/>
    <w:rsid w:val="009A1F95"/>
    <w:rsid w:val="009A381B"/>
    <w:rsid w:val="009A592C"/>
    <w:rsid w:val="009A7113"/>
    <w:rsid w:val="009B5827"/>
    <w:rsid w:val="009C2BD5"/>
    <w:rsid w:val="009C4A67"/>
    <w:rsid w:val="009C56CD"/>
    <w:rsid w:val="009D1933"/>
    <w:rsid w:val="009D7178"/>
    <w:rsid w:val="009E1E30"/>
    <w:rsid w:val="009E4A05"/>
    <w:rsid w:val="009E7900"/>
    <w:rsid w:val="009F0FA1"/>
    <w:rsid w:val="009F169D"/>
    <w:rsid w:val="009F3E13"/>
    <w:rsid w:val="009F432E"/>
    <w:rsid w:val="009F63E4"/>
    <w:rsid w:val="00A00D1F"/>
    <w:rsid w:val="00A03EB6"/>
    <w:rsid w:val="00A040D5"/>
    <w:rsid w:val="00A05967"/>
    <w:rsid w:val="00A12C15"/>
    <w:rsid w:val="00A12C8B"/>
    <w:rsid w:val="00A13255"/>
    <w:rsid w:val="00A14C2D"/>
    <w:rsid w:val="00A16C24"/>
    <w:rsid w:val="00A20C03"/>
    <w:rsid w:val="00A23F64"/>
    <w:rsid w:val="00A24892"/>
    <w:rsid w:val="00A25AA3"/>
    <w:rsid w:val="00A26DC0"/>
    <w:rsid w:val="00A26DDD"/>
    <w:rsid w:val="00A27B48"/>
    <w:rsid w:val="00A3056C"/>
    <w:rsid w:val="00A31F46"/>
    <w:rsid w:val="00A3287B"/>
    <w:rsid w:val="00A46C4B"/>
    <w:rsid w:val="00A46D5D"/>
    <w:rsid w:val="00A47813"/>
    <w:rsid w:val="00A5398F"/>
    <w:rsid w:val="00A549BF"/>
    <w:rsid w:val="00A559CA"/>
    <w:rsid w:val="00A575EB"/>
    <w:rsid w:val="00A641B4"/>
    <w:rsid w:val="00A67677"/>
    <w:rsid w:val="00A717DD"/>
    <w:rsid w:val="00A73AC3"/>
    <w:rsid w:val="00A82594"/>
    <w:rsid w:val="00A825C5"/>
    <w:rsid w:val="00A830E0"/>
    <w:rsid w:val="00A83DC0"/>
    <w:rsid w:val="00A8437B"/>
    <w:rsid w:val="00A8495C"/>
    <w:rsid w:val="00A84B55"/>
    <w:rsid w:val="00A86600"/>
    <w:rsid w:val="00A91556"/>
    <w:rsid w:val="00A92007"/>
    <w:rsid w:val="00A9720F"/>
    <w:rsid w:val="00AA11CF"/>
    <w:rsid w:val="00AA4566"/>
    <w:rsid w:val="00AA5E00"/>
    <w:rsid w:val="00AA7115"/>
    <w:rsid w:val="00AA739A"/>
    <w:rsid w:val="00AA7EEF"/>
    <w:rsid w:val="00AB37D1"/>
    <w:rsid w:val="00AB4779"/>
    <w:rsid w:val="00AB60AA"/>
    <w:rsid w:val="00AC0EF7"/>
    <w:rsid w:val="00AC1FAF"/>
    <w:rsid w:val="00AE3FBA"/>
    <w:rsid w:val="00AF08F7"/>
    <w:rsid w:val="00AF0AB5"/>
    <w:rsid w:val="00AF4646"/>
    <w:rsid w:val="00AF4D4D"/>
    <w:rsid w:val="00AF6EE3"/>
    <w:rsid w:val="00B03DBF"/>
    <w:rsid w:val="00B076D4"/>
    <w:rsid w:val="00B11C8F"/>
    <w:rsid w:val="00B14340"/>
    <w:rsid w:val="00B14CAC"/>
    <w:rsid w:val="00B2534F"/>
    <w:rsid w:val="00B25821"/>
    <w:rsid w:val="00B27AFF"/>
    <w:rsid w:val="00B30889"/>
    <w:rsid w:val="00B3263A"/>
    <w:rsid w:val="00B34E05"/>
    <w:rsid w:val="00B3650E"/>
    <w:rsid w:val="00B37BB0"/>
    <w:rsid w:val="00B4632C"/>
    <w:rsid w:val="00B631A7"/>
    <w:rsid w:val="00B64189"/>
    <w:rsid w:val="00B643FF"/>
    <w:rsid w:val="00B66144"/>
    <w:rsid w:val="00B66591"/>
    <w:rsid w:val="00B66FBF"/>
    <w:rsid w:val="00B7331C"/>
    <w:rsid w:val="00B74339"/>
    <w:rsid w:val="00B74472"/>
    <w:rsid w:val="00B75432"/>
    <w:rsid w:val="00B76B3B"/>
    <w:rsid w:val="00B804C7"/>
    <w:rsid w:val="00B80529"/>
    <w:rsid w:val="00B81586"/>
    <w:rsid w:val="00B834D5"/>
    <w:rsid w:val="00B8736C"/>
    <w:rsid w:val="00B952FF"/>
    <w:rsid w:val="00B961ED"/>
    <w:rsid w:val="00B966A9"/>
    <w:rsid w:val="00BA0D1C"/>
    <w:rsid w:val="00BA5583"/>
    <w:rsid w:val="00BA6BF5"/>
    <w:rsid w:val="00BB03A3"/>
    <w:rsid w:val="00BB0F1B"/>
    <w:rsid w:val="00BB1222"/>
    <w:rsid w:val="00BB4ACC"/>
    <w:rsid w:val="00BB626E"/>
    <w:rsid w:val="00BB6DCF"/>
    <w:rsid w:val="00BC22DD"/>
    <w:rsid w:val="00BC2ADB"/>
    <w:rsid w:val="00BC40B6"/>
    <w:rsid w:val="00BC59B6"/>
    <w:rsid w:val="00BD0CC5"/>
    <w:rsid w:val="00BD12F3"/>
    <w:rsid w:val="00BD3247"/>
    <w:rsid w:val="00BD3F21"/>
    <w:rsid w:val="00BD72FF"/>
    <w:rsid w:val="00BD7A6A"/>
    <w:rsid w:val="00BE0792"/>
    <w:rsid w:val="00BE17D3"/>
    <w:rsid w:val="00BE1DCD"/>
    <w:rsid w:val="00BF0A77"/>
    <w:rsid w:val="00BF2FF7"/>
    <w:rsid w:val="00C00F76"/>
    <w:rsid w:val="00C02749"/>
    <w:rsid w:val="00C02A3F"/>
    <w:rsid w:val="00C042A1"/>
    <w:rsid w:val="00C1014B"/>
    <w:rsid w:val="00C1674C"/>
    <w:rsid w:val="00C21AE9"/>
    <w:rsid w:val="00C244DB"/>
    <w:rsid w:val="00C267E1"/>
    <w:rsid w:val="00C271EF"/>
    <w:rsid w:val="00C34628"/>
    <w:rsid w:val="00C40ADD"/>
    <w:rsid w:val="00C4735E"/>
    <w:rsid w:val="00C54675"/>
    <w:rsid w:val="00C62434"/>
    <w:rsid w:val="00C641A8"/>
    <w:rsid w:val="00C6468C"/>
    <w:rsid w:val="00C64AF5"/>
    <w:rsid w:val="00C65183"/>
    <w:rsid w:val="00C673A8"/>
    <w:rsid w:val="00C711BC"/>
    <w:rsid w:val="00C725EE"/>
    <w:rsid w:val="00C72B3D"/>
    <w:rsid w:val="00C7345C"/>
    <w:rsid w:val="00C73F0F"/>
    <w:rsid w:val="00C815FE"/>
    <w:rsid w:val="00C83C64"/>
    <w:rsid w:val="00C935A6"/>
    <w:rsid w:val="00C96330"/>
    <w:rsid w:val="00C9754C"/>
    <w:rsid w:val="00CA1820"/>
    <w:rsid w:val="00CA5493"/>
    <w:rsid w:val="00CA7789"/>
    <w:rsid w:val="00CB1FE1"/>
    <w:rsid w:val="00CB3CEA"/>
    <w:rsid w:val="00CB77B0"/>
    <w:rsid w:val="00CC19B7"/>
    <w:rsid w:val="00CC33DF"/>
    <w:rsid w:val="00CC3B38"/>
    <w:rsid w:val="00CC3E0B"/>
    <w:rsid w:val="00CC3E17"/>
    <w:rsid w:val="00CC48E7"/>
    <w:rsid w:val="00CC4F40"/>
    <w:rsid w:val="00CC67D4"/>
    <w:rsid w:val="00CD6538"/>
    <w:rsid w:val="00CD684A"/>
    <w:rsid w:val="00CD7FEF"/>
    <w:rsid w:val="00CE0177"/>
    <w:rsid w:val="00CE4ED4"/>
    <w:rsid w:val="00CE5928"/>
    <w:rsid w:val="00CE6B76"/>
    <w:rsid w:val="00CE7B0F"/>
    <w:rsid w:val="00CF039C"/>
    <w:rsid w:val="00CF3AED"/>
    <w:rsid w:val="00CF3C0A"/>
    <w:rsid w:val="00CF4B41"/>
    <w:rsid w:val="00CF7FED"/>
    <w:rsid w:val="00D0033A"/>
    <w:rsid w:val="00D023F4"/>
    <w:rsid w:val="00D04F06"/>
    <w:rsid w:val="00D11F79"/>
    <w:rsid w:val="00D12FD7"/>
    <w:rsid w:val="00D148FD"/>
    <w:rsid w:val="00D149D8"/>
    <w:rsid w:val="00D2124E"/>
    <w:rsid w:val="00D2187F"/>
    <w:rsid w:val="00D22127"/>
    <w:rsid w:val="00D225A9"/>
    <w:rsid w:val="00D24DEF"/>
    <w:rsid w:val="00D26FDD"/>
    <w:rsid w:val="00D2761D"/>
    <w:rsid w:val="00D30F13"/>
    <w:rsid w:val="00D42FB7"/>
    <w:rsid w:val="00D43C68"/>
    <w:rsid w:val="00D459D1"/>
    <w:rsid w:val="00D46602"/>
    <w:rsid w:val="00D46F2E"/>
    <w:rsid w:val="00D50112"/>
    <w:rsid w:val="00D52500"/>
    <w:rsid w:val="00D634BE"/>
    <w:rsid w:val="00D64289"/>
    <w:rsid w:val="00D64B1E"/>
    <w:rsid w:val="00D650B9"/>
    <w:rsid w:val="00D70EAA"/>
    <w:rsid w:val="00D7124D"/>
    <w:rsid w:val="00D72387"/>
    <w:rsid w:val="00D75B37"/>
    <w:rsid w:val="00D77FE9"/>
    <w:rsid w:val="00D810EF"/>
    <w:rsid w:val="00D83347"/>
    <w:rsid w:val="00D8531F"/>
    <w:rsid w:val="00D86EB4"/>
    <w:rsid w:val="00D91889"/>
    <w:rsid w:val="00D95374"/>
    <w:rsid w:val="00D9741C"/>
    <w:rsid w:val="00DA1594"/>
    <w:rsid w:val="00DA2B2C"/>
    <w:rsid w:val="00DB06FD"/>
    <w:rsid w:val="00DB5940"/>
    <w:rsid w:val="00DB5E08"/>
    <w:rsid w:val="00DC1E6E"/>
    <w:rsid w:val="00DC23EC"/>
    <w:rsid w:val="00DC2E36"/>
    <w:rsid w:val="00DC32AF"/>
    <w:rsid w:val="00DC7A7C"/>
    <w:rsid w:val="00DD6693"/>
    <w:rsid w:val="00DE59A4"/>
    <w:rsid w:val="00DF090E"/>
    <w:rsid w:val="00DF44E6"/>
    <w:rsid w:val="00DF4BCC"/>
    <w:rsid w:val="00DF4F89"/>
    <w:rsid w:val="00DF53CE"/>
    <w:rsid w:val="00DF70CE"/>
    <w:rsid w:val="00E012CE"/>
    <w:rsid w:val="00E039C2"/>
    <w:rsid w:val="00E047A1"/>
    <w:rsid w:val="00E057CA"/>
    <w:rsid w:val="00E05875"/>
    <w:rsid w:val="00E078A3"/>
    <w:rsid w:val="00E24E89"/>
    <w:rsid w:val="00E24FBB"/>
    <w:rsid w:val="00E312D1"/>
    <w:rsid w:val="00E35EDF"/>
    <w:rsid w:val="00E40357"/>
    <w:rsid w:val="00E44801"/>
    <w:rsid w:val="00E45672"/>
    <w:rsid w:val="00E47A83"/>
    <w:rsid w:val="00E528F6"/>
    <w:rsid w:val="00E55965"/>
    <w:rsid w:val="00E6682C"/>
    <w:rsid w:val="00E70932"/>
    <w:rsid w:val="00E75010"/>
    <w:rsid w:val="00E75066"/>
    <w:rsid w:val="00E77E4E"/>
    <w:rsid w:val="00E80D88"/>
    <w:rsid w:val="00E82733"/>
    <w:rsid w:val="00E83952"/>
    <w:rsid w:val="00E8489C"/>
    <w:rsid w:val="00E862F4"/>
    <w:rsid w:val="00E87991"/>
    <w:rsid w:val="00E91226"/>
    <w:rsid w:val="00E96805"/>
    <w:rsid w:val="00EA1BB8"/>
    <w:rsid w:val="00EA5CF4"/>
    <w:rsid w:val="00EA7EA0"/>
    <w:rsid w:val="00EB1191"/>
    <w:rsid w:val="00EB2244"/>
    <w:rsid w:val="00EB6E82"/>
    <w:rsid w:val="00EC092B"/>
    <w:rsid w:val="00EC1E29"/>
    <w:rsid w:val="00EC6B7D"/>
    <w:rsid w:val="00ED0966"/>
    <w:rsid w:val="00ED14BA"/>
    <w:rsid w:val="00ED5F22"/>
    <w:rsid w:val="00ED75CF"/>
    <w:rsid w:val="00EE0080"/>
    <w:rsid w:val="00EE2724"/>
    <w:rsid w:val="00EE6182"/>
    <w:rsid w:val="00EF1761"/>
    <w:rsid w:val="00EF196B"/>
    <w:rsid w:val="00EF1BC1"/>
    <w:rsid w:val="00F0037D"/>
    <w:rsid w:val="00F01492"/>
    <w:rsid w:val="00F02FD3"/>
    <w:rsid w:val="00F0370F"/>
    <w:rsid w:val="00F128AF"/>
    <w:rsid w:val="00F14DD1"/>
    <w:rsid w:val="00F247ED"/>
    <w:rsid w:val="00F25296"/>
    <w:rsid w:val="00F25C07"/>
    <w:rsid w:val="00F30DD4"/>
    <w:rsid w:val="00F31833"/>
    <w:rsid w:val="00F3242C"/>
    <w:rsid w:val="00F34791"/>
    <w:rsid w:val="00F35F7F"/>
    <w:rsid w:val="00F36690"/>
    <w:rsid w:val="00F411BD"/>
    <w:rsid w:val="00F4205B"/>
    <w:rsid w:val="00F42605"/>
    <w:rsid w:val="00F4277A"/>
    <w:rsid w:val="00F45DDF"/>
    <w:rsid w:val="00F52FB7"/>
    <w:rsid w:val="00F53F4A"/>
    <w:rsid w:val="00F54692"/>
    <w:rsid w:val="00F563D6"/>
    <w:rsid w:val="00F56AAE"/>
    <w:rsid w:val="00F604DE"/>
    <w:rsid w:val="00F62952"/>
    <w:rsid w:val="00F62B39"/>
    <w:rsid w:val="00F65EB7"/>
    <w:rsid w:val="00F722B3"/>
    <w:rsid w:val="00F73DF8"/>
    <w:rsid w:val="00F755F4"/>
    <w:rsid w:val="00F75B0E"/>
    <w:rsid w:val="00F82917"/>
    <w:rsid w:val="00F84A66"/>
    <w:rsid w:val="00F85D23"/>
    <w:rsid w:val="00F90A0F"/>
    <w:rsid w:val="00F93115"/>
    <w:rsid w:val="00F95A68"/>
    <w:rsid w:val="00F96C75"/>
    <w:rsid w:val="00FB206C"/>
    <w:rsid w:val="00FB3A21"/>
    <w:rsid w:val="00FC01A7"/>
    <w:rsid w:val="00FC2170"/>
    <w:rsid w:val="00FC756C"/>
    <w:rsid w:val="00FD06B1"/>
    <w:rsid w:val="00FD165A"/>
    <w:rsid w:val="00FD2374"/>
    <w:rsid w:val="00FD26E8"/>
    <w:rsid w:val="00FD2BF5"/>
    <w:rsid w:val="00FD3EB5"/>
    <w:rsid w:val="00FD4CA9"/>
    <w:rsid w:val="00FD77CB"/>
    <w:rsid w:val="00FE213B"/>
    <w:rsid w:val="00FE22C1"/>
    <w:rsid w:val="00FE2BA9"/>
    <w:rsid w:val="00FE5A76"/>
    <w:rsid w:val="00FF5028"/>
    <w:rsid w:val="00FF66C7"/>
    <w:rsid w:val="075527D4"/>
    <w:rsid w:val="0D993CD9"/>
    <w:rsid w:val="1F0714C5"/>
    <w:rsid w:val="272A0AD1"/>
    <w:rsid w:val="27F501BD"/>
    <w:rsid w:val="34735BC7"/>
    <w:rsid w:val="358F18F4"/>
    <w:rsid w:val="3B9985B9"/>
    <w:rsid w:val="444C3F55"/>
    <w:rsid w:val="460F14C8"/>
    <w:rsid w:val="477B7946"/>
    <w:rsid w:val="47B974A6"/>
    <w:rsid w:val="58FAC7FB"/>
    <w:rsid w:val="59FFB761"/>
    <w:rsid w:val="5DCFD417"/>
    <w:rsid w:val="5E675578"/>
    <w:rsid w:val="5E7F4150"/>
    <w:rsid w:val="5EED4D1B"/>
    <w:rsid w:val="5FF440E3"/>
    <w:rsid w:val="5FFE8DFE"/>
    <w:rsid w:val="64BFB5F3"/>
    <w:rsid w:val="66AA2B81"/>
    <w:rsid w:val="680502A4"/>
    <w:rsid w:val="6CC32B0B"/>
    <w:rsid w:val="6EEBC8BA"/>
    <w:rsid w:val="7075303A"/>
    <w:rsid w:val="76134FE4"/>
    <w:rsid w:val="773B0A4D"/>
    <w:rsid w:val="79F01051"/>
    <w:rsid w:val="7BFD8E16"/>
    <w:rsid w:val="7C4F04CD"/>
    <w:rsid w:val="7C53BC9B"/>
    <w:rsid w:val="7D5FDDFE"/>
    <w:rsid w:val="7DAF8D76"/>
    <w:rsid w:val="7ED30BE6"/>
    <w:rsid w:val="7FBE5089"/>
    <w:rsid w:val="7FCE40FB"/>
    <w:rsid w:val="7FEAD309"/>
    <w:rsid w:val="7FEF939D"/>
    <w:rsid w:val="7FEFAA57"/>
    <w:rsid w:val="7FFFCF4A"/>
    <w:rsid w:val="8FFD8662"/>
    <w:rsid w:val="BB77A9B1"/>
    <w:rsid w:val="C7EFE49C"/>
    <w:rsid w:val="CFDD9D5B"/>
    <w:rsid w:val="D3B60E95"/>
    <w:rsid w:val="D5F796C9"/>
    <w:rsid w:val="DFFF5E86"/>
    <w:rsid w:val="DFFF6380"/>
    <w:rsid w:val="EDDFC0A1"/>
    <w:rsid w:val="EDEF4078"/>
    <w:rsid w:val="EFFD9910"/>
    <w:rsid w:val="F1EF3E81"/>
    <w:rsid w:val="F1FFE5AD"/>
    <w:rsid w:val="F2DADE9F"/>
    <w:rsid w:val="F3BEC47C"/>
    <w:rsid w:val="F3FFF018"/>
    <w:rsid w:val="F8F91342"/>
    <w:rsid w:val="FB2D1CA9"/>
    <w:rsid w:val="FB5EC24D"/>
    <w:rsid w:val="FC36390D"/>
    <w:rsid w:val="FCF544B9"/>
    <w:rsid w:val="FEFB21E3"/>
    <w:rsid w:val="FFDAB46F"/>
    <w:rsid w:val="FFDFF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宋体" w:hAnsi="宋体" w:eastAsia="宋体" w:cs="宋体"/>
      <w:sz w:val="24"/>
      <w:szCs w:val="24"/>
      <w:lang w:val="en-US" w:eastAsia="zh-CN" w:bidi="ar-SA"/>
    </w:rPr>
  </w:style>
  <w:style w:type="paragraph" w:styleId="2">
    <w:name w:val="heading 1"/>
    <w:basedOn w:val="1"/>
    <w:next w:val="1"/>
    <w:link w:val="25"/>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autoRedefine/>
    <w:unhideWhenUsed/>
    <w:qFormat/>
    <w:uiPriority w:val="9"/>
    <w:pPr>
      <w:keepNext/>
      <w:keepLines/>
      <w:spacing w:before="260" w:after="260" w:line="416" w:lineRule="auto"/>
      <w:outlineLvl w:val="2"/>
    </w:pPr>
    <w:rPr>
      <w:b/>
      <w:bCs/>
      <w:sz w:val="32"/>
      <w:szCs w:val="32"/>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Document Map"/>
    <w:basedOn w:val="1"/>
    <w:link w:val="31"/>
    <w:autoRedefine/>
    <w:unhideWhenUsed/>
    <w:qFormat/>
    <w:uiPriority w:val="99"/>
  </w:style>
  <w:style w:type="paragraph" w:styleId="6">
    <w:name w:val="Balloon Text"/>
    <w:basedOn w:val="1"/>
    <w:link w:val="30"/>
    <w:autoRedefine/>
    <w:unhideWhenUsed/>
    <w:qFormat/>
    <w:uiPriority w:val="99"/>
    <w:rPr>
      <w:sz w:val="18"/>
      <w:szCs w:val="18"/>
    </w:rPr>
  </w:style>
  <w:style w:type="paragraph" w:styleId="7">
    <w:name w:val="footer"/>
    <w:basedOn w:val="1"/>
    <w:link w:val="19"/>
    <w:autoRedefine/>
    <w:unhideWhenUsed/>
    <w:qFormat/>
    <w:uiPriority w:val="99"/>
    <w:pPr>
      <w:tabs>
        <w:tab w:val="center" w:pos="4153"/>
        <w:tab w:val="right" w:pos="8306"/>
      </w:tabs>
      <w:snapToGrid w:val="0"/>
    </w:pPr>
    <w:rPr>
      <w:sz w:val="18"/>
      <w:szCs w:val="18"/>
    </w:rPr>
  </w:style>
  <w:style w:type="paragraph" w:styleId="8">
    <w:name w:val="header"/>
    <w:basedOn w:val="1"/>
    <w:link w:val="1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tabs>
        <w:tab w:val="left" w:pos="840"/>
        <w:tab w:val="right" w:leader="dot" w:pos="8296"/>
      </w:tabs>
      <w:spacing w:line="480" w:lineRule="auto"/>
      <w:ind w:left="482" w:hanging="482"/>
      <w:jc w:val="center"/>
    </w:pPr>
    <w:rPr>
      <w:b/>
    </w:rPr>
  </w:style>
  <w:style w:type="paragraph" w:styleId="10">
    <w:name w:val="toc 2"/>
    <w:basedOn w:val="1"/>
    <w:next w:val="1"/>
    <w:autoRedefine/>
    <w:unhideWhenUsed/>
    <w:qFormat/>
    <w:uiPriority w:val="39"/>
    <w:pPr>
      <w:ind w:left="420" w:leftChars="200"/>
    </w:pPr>
  </w:style>
  <w:style w:type="paragraph" w:styleId="11">
    <w:name w:val="HTML Preformatted"/>
    <w:basedOn w:val="1"/>
    <w:link w:val="37"/>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table" w:styleId="13">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autoRedefine/>
    <w:qFormat/>
    <w:uiPriority w:val="22"/>
    <w:rPr>
      <w:b/>
    </w:rPr>
  </w:style>
  <w:style w:type="character" w:styleId="16">
    <w:name w:val="FollowedHyperlink"/>
    <w:basedOn w:val="14"/>
    <w:autoRedefine/>
    <w:unhideWhenUsed/>
    <w:qFormat/>
    <w:uiPriority w:val="99"/>
    <w:rPr>
      <w:color w:val="954F72" w:themeColor="followedHyperlink"/>
      <w:u w:val="single"/>
    </w:rPr>
  </w:style>
  <w:style w:type="character" w:styleId="17">
    <w:name w:val="Hyperlink"/>
    <w:basedOn w:val="14"/>
    <w:autoRedefine/>
    <w:unhideWhenUsed/>
    <w:qFormat/>
    <w:uiPriority w:val="99"/>
    <w:rPr>
      <w:color w:val="0563C1" w:themeColor="hyperlink"/>
      <w:u w:val="single"/>
    </w:rPr>
  </w:style>
  <w:style w:type="character" w:customStyle="1" w:styleId="18">
    <w:name w:val="页眉 字符"/>
    <w:basedOn w:val="14"/>
    <w:link w:val="8"/>
    <w:autoRedefine/>
    <w:qFormat/>
    <w:uiPriority w:val="99"/>
    <w:rPr>
      <w:sz w:val="18"/>
      <w:szCs w:val="18"/>
    </w:rPr>
  </w:style>
  <w:style w:type="character" w:customStyle="1" w:styleId="19">
    <w:name w:val="页脚 字符"/>
    <w:basedOn w:val="14"/>
    <w:link w:val="7"/>
    <w:autoRedefine/>
    <w:qFormat/>
    <w:uiPriority w:val="99"/>
    <w:rPr>
      <w:sz w:val="18"/>
      <w:szCs w:val="18"/>
    </w:rPr>
  </w:style>
  <w:style w:type="paragraph" w:customStyle="1" w:styleId="20">
    <w:name w:val="列表段落1"/>
    <w:basedOn w:val="1"/>
    <w:link w:val="23"/>
    <w:autoRedefine/>
    <w:qFormat/>
    <w:uiPriority w:val="34"/>
    <w:pPr>
      <w:ind w:firstLine="420" w:firstLineChars="200"/>
    </w:pPr>
  </w:style>
  <w:style w:type="paragraph" w:customStyle="1" w:styleId="21">
    <w:name w:val="一级标题"/>
    <w:basedOn w:val="20"/>
    <w:link w:val="24"/>
    <w:autoRedefine/>
    <w:qFormat/>
    <w:uiPriority w:val="0"/>
    <w:pPr>
      <w:snapToGrid w:val="0"/>
      <w:ind w:firstLine="0" w:firstLineChars="0"/>
    </w:pPr>
    <w:rPr>
      <w:b/>
      <w:sz w:val="30"/>
      <w:szCs w:val="30"/>
    </w:rPr>
  </w:style>
  <w:style w:type="paragraph" w:customStyle="1" w:styleId="22">
    <w:name w:val="二级标题"/>
    <w:basedOn w:val="1"/>
    <w:link w:val="26"/>
    <w:autoRedefine/>
    <w:qFormat/>
    <w:uiPriority w:val="0"/>
    <w:rPr>
      <w:b/>
      <w:sz w:val="28"/>
      <w:szCs w:val="28"/>
    </w:rPr>
  </w:style>
  <w:style w:type="character" w:customStyle="1" w:styleId="23">
    <w:name w:val="列出段落 字符"/>
    <w:basedOn w:val="14"/>
    <w:link w:val="20"/>
    <w:autoRedefine/>
    <w:qFormat/>
    <w:uiPriority w:val="34"/>
    <w:rPr>
      <w:rFonts w:ascii="Times New Roman" w:hAnsi="Times New Roman" w:eastAsia="宋体" w:cs="Times New Roman"/>
      <w:kern w:val="0"/>
      <w:sz w:val="24"/>
      <w:szCs w:val="24"/>
    </w:rPr>
  </w:style>
  <w:style w:type="character" w:customStyle="1" w:styleId="24">
    <w:name w:val="一级标题 字符"/>
    <w:basedOn w:val="23"/>
    <w:link w:val="21"/>
    <w:autoRedefine/>
    <w:qFormat/>
    <w:uiPriority w:val="0"/>
    <w:rPr>
      <w:rFonts w:ascii="Times New Roman" w:hAnsi="Times New Roman" w:eastAsia="宋体" w:cs="Times New Roman"/>
      <w:b/>
      <w:kern w:val="0"/>
      <w:sz w:val="30"/>
      <w:szCs w:val="30"/>
    </w:rPr>
  </w:style>
  <w:style w:type="character" w:customStyle="1" w:styleId="25">
    <w:name w:val="标题 1 字符"/>
    <w:basedOn w:val="14"/>
    <w:link w:val="2"/>
    <w:autoRedefine/>
    <w:qFormat/>
    <w:uiPriority w:val="0"/>
    <w:rPr>
      <w:rFonts w:ascii="Times New Roman" w:hAnsi="Times New Roman" w:eastAsia="宋体" w:cs="Times New Roman"/>
      <w:b/>
      <w:bCs/>
      <w:kern w:val="44"/>
      <w:sz w:val="44"/>
      <w:szCs w:val="44"/>
    </w:rPr>
  </w:style>
  <w:style w:type="character" w:customStyle="1" w:styleId="26">
    <w:name w:val="二级标题 字符"/>
    <w:basedOn w:val="14"/>
    <w:link w:val="22"/>
    <w:autoRedefine/>
    <w:qFormat/>
    <w:uiPriority w:val="0"/>
    <w:rPr>
      <w:rFonts w:ascii="Times New Roman" w:hAnsi="Times New Roman" w:eastAsia="宋体" w:cs="Times New Roman"/>
      <w:b/>
      <w:kern w:val="0"/>
      <w:sz w:val="28"/>
      <w:szCs w:val="28"/>
    </w:rPr>
  </w:style>
  <w:style w:type="character" w:customStyle="1" w:styleId="27">
    <w:name w:val="标题 2 字符"/>
    <w:basedOn w:val="14"/>
    <w:link w:val="3"/>
    <w:autoRedefine/>
    <w:qFormat/>
    <w:uiPriority w:val="0"/>
    <w:rPr>
      <w:rFonts w:asciiTheme="majorHAnsi" w:hAnsiTheme="majorHAnsi" w:eastAsiaTheme="majorEastAsia" w:cstheme="majorBidi"/>
      <w:b/>
      <w:bCs/>
      <w:kern w:val="0"/>
      <w:sz w:val="32"/>
      <w:szCs w:val="32"/>
    </w:rPr>
  </w:style>
  <w:style w:type="character" w:customStyle="1" w:styleId="28">
    <w:name w:val="标题 3 字符"/>
    <w:basedOn w:val="14"/>
    <w:link w:val="4"/>
    <w:autoRedefine/>
    <w:semiHidden/>
    <w:qFormat/>
    <w:uiPriority w:val="9"/>
    <w:rPr>
      <w:rFonts w:ascii="Times New Roman" w:hAnsi="Times New Roman" w:eastAsia="宋体" w:cs="Times New Roman"/>
      <w:b/>
      <w:bCs/>
      <w:kern w:val="0"/>
      <w:sz w:val="32"/>
      <w:szCs w:val="32"/>
    </w:rPr>
  </w:style>
  <w:style w:type="paragraph" w:customStyle="1" w:styleId="29">
    <w:name w:val="列表段落2"/>
    <w:basedOn w:val="1"/>
    <w:autoRedefine/>
    <w:qFormat/>
    <w:uiPriority w:val="99"/>
    <w:pPr>
      <w:ind w:firstLine="420" w:firstLineChars="200"/>
    </w:pPr>
  </w:style>
  <w:style w:type="character" w:customStyle="1" w:styleId="30">
    <w:name w:val="批注框文本 字符"/>
    <w:basedOn w:val="14"/>
    <w:link w:val="6"/>
    <w:autoRedefine/>
    <w:semiHidden/>
    <w:qFormat/>
    <w:uiPriority w:val="99"/>
    <w:rPr>
      <w:sz w:val="18"/>
      <w:szCs w:val="18"/>
    </w:rPr>
  </w:style>
  <w:style w:type="character" w:customStyle="1" w:styleId="31">
    <w:name w:val="文档结构图 字符"/>
    <w:basedOn w:val="14"/>
    <w:link w:val="5"/>
    <w:autoRedefine/>
    <w:semiHidden/>
    <w:qFormat/>
    <w:uiPriority w:val="99"/>
    <w:rPr>
      <w:rFonts w:ascii="宋体"/>
      <w:sz w:val="24"/>
      <w:szCs w:val="24"/>
    </w:rPr>
  </w:style>
  <w:style w:type="character" w:customStyle="1" w:styleId="32">
    <w:name w:val="未处理的提及1"/>
    <w:basedOn w:val="14"/>
    <w:autoRedefine/>
    <w:qFormat/>
    <w:uiPriority w:val="99"/>
    <w:rPr>
      <w:color w:val="605E5C"/>
      <w:shd w:val="clear" w:color="auto" w:fill="E1DFDD"/>
    </w:rPr>
  </w:style>
  <w:style w:type="paragraph" w:customStyle="1" w:styleId="33">
    <w:name w:val="列出段落1"/>
    <w:basedOn w:val="1"/>
    <w:autoRedefine/>
    <w:qFormat/>
    <w:uiPriority w:val="99"/>
    <w:pPr>
      <w:ind w:firstLine="420" w:firstLineChars="200"/>
    </w:pPr>
  </w:style>
  <w:style w:type="character" w:customStyle="1" w:styleId="34">
    <w:name w:val="未处理的提及2"/>
    <w:basedOn w:val="14"/>
    <w:autoRedefine/>
    <w:unhideWhenUsed/>
    <w:qFormat/>
    <w:uiPriority w:val="99"/>
    <w:rPr>
      <w:color w:val="605E5C"/>
      <w:shd w:val="clear" w:color="auto" w:fill="E1DFDD"/>
    </w:rPr>
  </w:style>
  <w:style w:type="paragraph" w:styleId="35">
    <w:name w:val="List Paragraph"/>
    <w:basedOn w:val="1"/>
    <w:autoRedefine/>
    <w:qFormat/>
    <w:uiPriority w:val="99"/>
    <w:pPr>
      <w:ind w:firstLine="420" w:firstLineChars="200"/>
    </w:pPr>
  </w:style>
  <w:style w:type="character" w:customStyle="1" w:styleId="36">
    <w:name w:val="Unresolved Mention"/>
    <w:basedOn w:val="14"/>
    <w:autoRedefine/>
    <w:semiHidden/>
    <w:unhideWhenUsed/>
    <w:qFormat/>
    <w:uiPriority w:val="99"/>
    <w:rPr>
      <w:color w:val="605E5C"/>
      <w:shd w:val="clear" w:color="auto" w:fill="E1DFDD"/>
    </w:rPr>
  </w:style>
  <w:style w:type="character" w:customStyle="1" w:styleId="37">
    <w:name w:val="HTML 预设格式 字符"/>
    <w:basedOn w:val="14"/>
    <w:link w:val="11"/>
    <w:autoRedefine/>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995D-2231-490C-98BE-D3649481C3A8}">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573</Words>
  <Characters>3271</Characters>
  <Lines>27</Lines>
  <Paragraphs>7</Paragraphs>
  <TotalTime>1</TotalTime>
  <ScaleCrop>false</ScaleCrop>
  <LinksUpToDate>false</LinksUpToDate>
  <CharactersWithSpaces>3837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2023-02-22T03:58:00Z</dcterms:created>
  <dc:creator>郝桐彤</dc:creator>
  <cp:lastModifiedBy>尛孨</cp:lastModifiedBy>
  <cp:lastPrinted>2023-09-20T10:08:00Z</cp:lastPrinted>
  <dcterms:modified xsi:type="dcterms:W3CDTF">2024-02-07T03:05:54Z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E5EC954A6F2440ADB477B045BBD795E6</vt:lpwstr>
  </property>
</Properties>
</file>