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t>ROAMERS COMMUNITY</w:t>
      </w:r>
    </w:p>
    <w:p>
      <w:pPr>
        <w:pStyle w:val="Subtitle"/>
      </w:pPr>
      <w:r>
        <w:rPr/>
        <w:t>Business plan investisseur privé - Version développée 2025</w:t>
      </w:r>
    </w:p>
    <w:p>
      <w:r>
        <w:rPr>
          <w:b/>
        </w:rPr>
        <w:t>Explore. Connect. Belong.</w:t>
      </w:r>
    </w:p>
    <w:p>
      <w:r>
        <w:rPr/>
        <w:t>Document confidentiel - destiné à l'évaluation d'un investissement privé dans une société marocaine de tourisme expérientiel, durable et communautaire.</w:t>
      </w:r>
    </w:p>
    <w:p>
      <w:pPr>
        <w:pStyle w:val="IntenseQuote"/>
      </w:pPr>
      <w:r>
        <w:rPr/>
        <w:t>Note importante : les montants financiers ci-dessous sont des hypothèses de travail destinées à préparer une discussion investisseur. Ils doivent être ajustés après validation des devis, de la structure juridique, de l'équipe fondatrice et des premiers contrats commerciaux.</w:t>
      </w:r>
    </w:p>
    <w:p>
      <w:pPr>
        <w:pStyle w:val="Heading1"/>
      </w:pPr>
      <w:r>
        <w:rPr/>
        <w:t>1. Résumé Exécutif</w:t>
      </w:r>
    </w:p>
    <w:p>
      <w:r>
        <w:rPr/>
        <w:t>Roamers Community est un opérateur marocain de tourisme expérientiel qui conçoit, commercialise et opère des expériences d'aventure, de culture et de cohésion de groupe dans les régions naturelles du Maroc, avec un premier ancrage dans l'Atlas, la province de Taza et les territoires ruraux à fort potentiel.</w:t>
      </w:r>
    </w:p>
    <w:p>
      <w:r>
        <w:rPr/>
        <w:t>Le projet répond à trois dynamiques convergentes : la croissance du tourisme au Maroc, la recherche d'expériences authentiques par les voyageurs et la demande des entreprises pour des formats de team building plus mémorables, responsables et différenciants.</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4500"/>
        <w:gridCol w:w="4500"/>
      </w:tblGrid>
      <w:tr>
        <w:tc>
          <w:tcPr>
            <w:tcW w:w="4500" w:type="dxa"/>
            <w:shd w:fill="EAF3F1"/>
          </w:tcPr>
          <w:p>
            <w:r>
              <w:rPr>
                <w:b/>
              </w:rPr>
              <w:t>Élément</w:t>
            </w:r>
          </w:p>
        </w:tc>
        <w:tc>
          <w:tcPr>
            <w:tcW w:w="4500" w:type="dxa"/>
            <w:shd w:fill="EAF3F1"/>
          </w:tcPr>
          <w:p>
            <w:r>
              <w:rPr>
                <w:b/>
              </w:rPr>
              <w:t>Synthèse investisseur</w:t>
            </w:r>
          </w:p>
        </w:tc>
      </w:tr>
      <w:tr>
        <w:tc>
          <w:tcPr>
            <w:tcW w:w="4500" w:type="dxa"/>
          </w:tcPr>
          <w:p>
            <w:r>
              <w:rPr/>
              <w:t>Marché</w:t>
            </w:r>
          </w:p>
        </w:tc>
        <w:tc>
          <w:tcPr>
            <w:tcW w:w="4500" w:type="dxa"/>
          </w:tcPr>
          <w:p>
            <w:r>
              <w:rPr/>
              <w:t>Tourisme marocain en forte croissance, soutenu par la feuille de route nationale 2023-2026 et l'objectif de 26 millions de touristes à horizon 2030.</w:t>
            </w:r>
          </w:p>
        </w:tc>
      </w:tr>
      <w:tr>
        <w:tc>
          <w:tcPr>
            <w:tcW w:w="4500" w:type="dxa"/>
          </w:tcPr>
          <w:p>
            <w:r>
              <w:rPr/>
              <w:t>Positionnement</w:t>
            </w:r>
          </w:p>
        </w:tc>
        <w:tc>
          <w:tcPr>
            <w:tcW w:w="4500" w:type="dxa"/>
          </w:tcPr>
          <w:p>
            <w:r>
              <w:rPr/>
              <w:t>Aventure + immersion culturelle + impact local + offres B2B, avec un modèle plus défendable qu'une simple agence de sorties.</w:t>
            </w:r>
          </w:p>
        </w:tc>
      </w:tr>
      <w:tr>
        <w:tc>
          <w:tcPr>
            <w:tcW w:w="4500" w:type="dxa"/>
          </w:tcPr>
          <w:p>
            <w:r>
              <w:rPr/>
              <w:t>Clients cibles</w:t>
            </w:r>
          </w:p>
        </w:tc>
        <w:tc>
          <w:tcPr>
            <w:tcW w:w="4500" w:type="dxa"/>
          </w:tcPr>
          <w:p>
            <w:r>
              <w:rPr/>
              <w:t>Jeunes Marocains, touristes internationaux, entreprises, associations, écoles, ONG et institutions.</w:t>
            </w:r>
          </w:p>
        </w:tc>
      </w:tr>
      <w:tr>
        <w:tc>
          <w:tcPr>
            <w:tcW w:w="4500" w:type="dxa"/>
          </w:tcPr>
          <w:p>
            <w:r>
              <w:rPr/>
              <w:t>Modèle économique</w:t>
            </w:r>
          </w:p>
        </w:tc>
        <w:tc>
          <w:tcPr>
            <w:tcW w:w="4500" w:type="dxa"/>
          </w:tcPr>
          <w:p>
            <w:r>
              <w:rPr/>
              <w:t>Marge sur packages B2C, devis B2B, programmes immersifs premium, commissions partenaires et, à terme, plateforme de réservation.</w:t>
            </w:r>
          </w:p>
        </w:tc>
      </w:tr>
      <w:tr>
        <w:tc>
          <w:tcPr>
            <w:tcW w:w="4500" w:type="dxa"/>
          </w:tcPr>
          <w:p>
            <w:r>
              <w:rPr/>
              <w:t>Besoin de financement indicatif</w:t>
            </w:r>
          </w:p>
        </w:tc>
        <w:tc>
          <w:tcPr>
            <w:tcW w:w="4500" w:type="dxa"/>
          </w:tcPr>
          <w:p>
            <w:r>
              <w:rPr/>
              <w:t>600 000 MAD pour lancer l'activité, financer 12 mois d'amorçage, sécuriser la qualité opérationnelle et accélérer l'acquisition client.</w:t>
            </w:r>
          </w:p>
        </w:tc>
      </w:tr>
      <w:tr>
        <w:tc>
          <w:tcPr>
            <w:tcW w:w="4500" w:type="dxa"/>
          </w:tcPr>
          <w:p>
            <w:r>
              <w:rPr/>
              <w:t>Proposition investisseur indicative</w:t>
            </w:r>
          </w:p>
        </w:tc>
        <w:tc>
          <w:tcPr>
            <w:tcW w:w="4500" w:type="dxa"/>
          </w:tcPr>
          <w:p>
            <w:r>
              <w:rPr/>
              <w:t>Ticket cible : 450 000 MAD, sous forme d'equity ou instrument convertible. Valorisation et pourcentage à négocier après due diligence.</w:t>
            </w:r>
          </w:p>
        </w:tc>
      </w:tr>
      <w:tr>
        <w:tc>
          <w:tcPr>
            <w:tcW w:w="4500" w:type="dxa"/>
          </w:tcPr>
          <w:p>
            <w:r>
              <w:rPr/>
              <w:t>Ambition à 3 ans</w:t>
            </w:r>
          </w:p>
        </w:tc>
        <w:tc>
          <w:tcPr>
            <w:tcW w:w="4500" w:type="dxa"/>
          </w:tcPr>
          <w:p>
            <w:r>
              <w:rPr/>
              <w:t>Atteindre environ 4,35 M MAD de chiffre d'affaires annuel, une marge EBITDA proche de 26% et une marque reconnue sur le tourisme d'expérience responsable.</w:t>
            </w:r>
          </w:p>
        </w:tc>
      </w:tr>
    </w:tbl>
    <w:p>
      <w:pPr>
        <w:pStyle w:val="Heading2"/>
      </w:pPr>
      <w:r>
        <w:rPr/>
        <w:t>Thèse d'investissement</w:t>
      </w:r>
    </w:p>
    <w:p>
      <w:r>
        <w:rPr/>
        <w:t>- Un marché national porteur, déjà prioritaire dans la stratégie touristique du Maroc.</w:t>
      </w:r>
    </w:p>
    <w:p>
      <w:r>
        <w:rPr/>
        <w:t>- Un produit aligné avec les filières officielles Nature, Trekking and Hiking, Désert &amp; Oasis Adventure, Circuits culturels, Tourisme d'affaires et Développement durable.</w:t>
      </w:r>
    </w:p>
    <w:p>
      <w:r>
        <w:rPr/>
        <w:t>- Un modèle hybride B2C/B2B qui réduit la dépendance à la saisonnalité et améliore la marge.</w:t>
      </w:r>
    </w:p>
    <w:p>
      <w:r>
        <w:rPr/>
        <w:t>- Un actif immatériel fort : communauté, contenu, réseau local et expertise terrain.</w:t>
      </w:r>
    </w:p>
    <w:p>
      <w:r>
        <w:rPr/>
        <w:t>- Une possibilité de réplication régionale après preuve commerciale dans les premières zones cibles.</w:t>
      </w:r>
    </w:p>
    <w:p>
      <w:pPr>
        <w:pStyle w:val="Heading1"/>
      </w:pPr>
      <w:r>
        <w:rPr/>
        <w:t>2. Problème Et Opportunité</w:t>
      </w:r>
    </w:p>
    <w:p>
      <w:r>
        <w:rPr/>
        <w:t>Le Maroc attire davantage de visiteurs, mais une partie importante de l'offre reste concentrée autour des circuits classiques : grandes villes, désert standardisé, packages peu personnalisés et expériences parfois déconnectées des communautés locales. En parallèle, les jeunes Marocains et les voyageurs internationaux recherchent des formats plus authentiques, plus responsables et plus sociaux.</w:t>
      </w:r>
    </w:p>
    <w:p>
      <w:r>
        <w:rPr/>
        <w:t>Roamers Community se positionne sur cet espace : des expériences organisées avec professionnalisme, mais vécues comme une aventure humaine. Le projet ne vend pas seulement un trajet ou une excursion ; il vend une appartenance temporaire à une communauté de voyageurs, de guides et d'hôtes locaux.</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4500"/>
        <w:gridCol w:w="4500"/>
      </w:tblGrid>
      <w:tr>
        <w:tc>
          <w:tcPr>
            <w:tcW w:w="4500" w:type="dxa"/>
            <w:shd w:fill="EAF3F1"/>
          </w:tcPr>
          <w:p>
            <w:r>
              <w:rPr>
                <w:b/>
              </w:rPr>
              <w:t>Douleur client</w:t>
            </w:r>
          </w:p>
        </w:tc>
        <w:tc>
          <w:tcPr>
            <w:tcW w:w="4500" w:type="dxa"/>
            <w:shd w:fill="EAF3F1"/>
          </w:tcPr>
          <w:p>
            <w:r>
              <w:rPr>
                <w:b/>
              </w:rPr>
              <w:t>Réponse Roamers</w:t>
            </w:r>
          </w:p>
        </w:tc>
      </w:tr>
      <w:tr>
        <w:tc>
          <w:tcPr>
            <w:tcW w:w="4500" w:type="dxa"/>
          </w:tcPr>
          <w:p>
            <w:r>
              <w:rPr/>
              <w:t>Difficulté à trouver des expériences fiables hors circuits classiques</w:t>
            </w:r>
          </w:p>
        </w:tc>
        <w:tc>
          <w:tcPr>
            <w:tcW w:w="4500" w:type="dxa"/>
          </w:tcPr>
          <w:p>
            <w:r>
              <w:rPr/>
              <w:t>Sélection de destinations, guides qualifiés, logistique structurée et standards sécurité.</w:t>
            </w:r>
          </w:p>
        </w:tc>
      </w:tr>
      <w:tr>
        <w:tc>
          <w:tcPr>
            <w:tcW w:w="4500" w:type="dxa"/>
          </w:tcPr>
          <w:p>
            <w:r>
              <w:rPr/>
              <w:t>Manque d'authenticité dans les offres touristiques génériques</w:t>
            </w:r>
          </w:p>
        </w:tc>
        <w:tc>
          <w:tcPr>
            <w:tcW w:w="4500" w:type="dxa"/>
          </w:tcPr>
          <w:p>
            <w:r>
              <w:rPr/>
              <w:t>Immersion avec acteurs locaux, repas traditionnels, artisanat, musique, agriculture, récits territoriaux.</w:t>
            </w:r>
          </w:p>
        </w:tc>
      </w:tr>
      <w:tr>
        <w:tc>
          <w:tcPr>
            <w:tcW w:w="4500" w:type="dxa"/>
          </w:tcPr>
          <w:p>
            <w:r>
              <w:rPr/>
              <w:t>Entreprises en recherche de team building original</w:t>
            </w:r>
          </w:p>
        </w:tc>
        <w:tc>
          <w:tcPr>
            <w:tcW w:w="4500" w:type="dxa"/>
          </w:tcPr>
          <w:p>
            <w:r>
              <w:rPr/>
              <w:t>Programmes B2B sur mesure : cohésion, leadership, aventure douce, impact social.</w:t>
            </w:r>
          </w:p>
        </w:tc>
      </w:tr>
      <w:tr>
        <w:tc>
          <w:tcPr>
            <w:tcW w:w="4500" w:type="dxa"/>
          </w:tcPr>
          <w:p>
            <w:r>
              <w:rPr/>
              <w:t>Territoires ruraux sous-valorisés</w:t>
            </w:r>
          </w:p>
        </w:tc>
        <w:tc>
          <w:tcPr>
            <w:tcW w:w="4500" w:type="dxa"/>
          </w:tcPr>
          <w:p>
            <w:r>
              <w:rPr/>
              <w:t>Intégration de guides, hébergeurs, coopératives et familles d'accueil dans la chaîne de valeur.</w:t>
            </w:r>
          </w:p>
        </w:tc>
      </w:tr>
    </w:tbl>
    <w:p>
      <w:pPr>
        <w:pStyle w:val="Heading1"/>
      </w:pPr>
      <w:r>
        <w:rPr/>
        <w:t>3. Marché</w:t>
      </w:r>
    </w:p>
    <w:p>
      <w:r>
        <w:rPr/>
        <w:t>Le contexte macro est favorable. Le Maroc a accueilli 17,4 millions de visiteurs en 2024, un record annoncé par le ministère du Tourisme et relayé par Maroc.ma. La feuille de route 2023-2026 fixe des objectifs de 17,5 millions de touristes, 120 milliards de dirhams de recettes en devises et 200 000 emplois directs et indirects à horizon 2026. Le ministère affiche aussi une vision de 26 millions de touristes d'ici 2030.</w:t>
      </w:r>
    </w:p>
    <w:p>
      <w:r>
        <w:rPr/>
        <w:t>Cette dynamique confirme la profondeur du marché adressable. Roamers Community vise d'abord des niches rentables plutôt qu'une logique de volume massif : aventure accessible, expériences culturelles, groupes organisés et offres entreprises.</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2250"/>
        <w:gridCol w:w="2250"/>
        <w:gridCol w:w="2250"/>
        <w:gridCol w:w="2250"/>
      </w:tblGrid>
      <w:tr>
        <w:tc>
          <w:tcPr>
            <w:tcW w:w="2250" w:type="dxa"/>
            <w:shd w:fill="EAF3F1"/>
          </w:tcPr>
          <w:p>
            <w:r>
              <w:rPr>
                <w:b/>
              </w:rPr>
              <w:t>Segment</w:t>
            </w:r>
          </w:p>
        </w:tc>
        <w:tc>
          <w:tcPr>
            <w:tcW w:w="2250" w:type="dxa"/>
            <w:shd w:fill="EAF3F1"/>
          </w:tcPr>
          <w:p>
            <w:r>
              <w:rPr>
                <w:b/>
              </w:rPr>
              <w:t>Besoin</w:t>
            </w:r>
          </w:p>
        </w:tc>
        <w:tc>
          <w:tcPr>
            <w:tcW w:w="2250" w:type="dxa"/>
            <w:shd w:fill="EAF3F1"/>
          </w:tcPr>
          <w:p>
            <w:r>
              <w:rPr>
                <w:b/>
              </w:rPr>
              <w:t>Offre Roamers</w:t>
            </w:r>
          </w:p>
        </w:tc>
        <w:tc>
          <w:tcPr>
            <w:tcW w:w="2250" w:type="dxa"/>
            <w:shd w:fill="EAF3F1"/>
          </w:tcPr>
          <w:p>
            <w:r>
              <w:rPr>
                <w:b/>
              </w:rPr>
              <w:t>Potentiel</w:t>
            </w:r>
          </w:p>
        </w:tc>
      </w:tr>
      <w:tr>
        <w:tc>
          <w:tcPr>
            <w:tcW w:w="2250" w:type="dxa"/>
          </w:tcPr>
          <w:p>
            <w:r>
              <w:rPr/>
              <w:t>Jeunes Marocains 18-35</w:t>
            </w:r>
          </w:p>
        </w:tc>
        <w:tc>
          <w:tcPr>
            <w:tcW w:w="2250" w:type="dxa"/>
          </w:tcPr>
          <w:p>
            <w:r>
              <w:rPr/>
              <w:t>Voyager en groupe, prix accessibles, contenu social</w:t>
            </w:r>
          </w:p>
        </w:tc>
        <w:tc>
          <w:tcPr>
            <w:tcW w:w="2250" w:type="dxa"/>
          </w:tcPr>
          <w:p>
            <w:r>
              <w:rPr/>
              <w:t>Week-ends aventure, randonnées, bivouacs, micro-expéditions</w:t>
            </w:r>
          </w:p>
        </w:tc>
        <w:tc>
          <w:tcPr>
            <w:tcW w:w="2250" w:type="dxa"/>
          </w:tcPr>
          <w:p>
            <w:r>
              <w:rPr/>
              <w:t>Volume élevé, acquisition digitale</w:t>
            </w:r>
          </w:p>
        </w:tc>
      </w:tr>
      <w:tr>
        <w:tc>
          <w:tcPr>
            <w:tcW w:w="2250" w:type="dxa"/>
          </w:tcPr>
          <w:p>
            <w:r>
              <w:rPr/>
              <w:t>Touristes internationaux</w:t>
            </w:r>
          </w:p>
        </w:tc>
        <w:tc>
          <w:tcPr>
            <w:tcW w:w="2250" w:type="dxa"/>
          </w:tcPr>
          <w:p>
            <w:r>
              <w:rPr/>
              <w:t>Authenticité, sécurité, guides locaux, hors-circuits</w:t>
            </w:r>
          </w:p>
        </w:tc>
        <w:tc>
          <w:tcPr>
            <w:tcW w:w="2250" w:type="dxa"/>
          </w:tcPr>
          <w:p>
            <w:r>
              <w:rPr/>
              <w:t>Programmes 3 à 7 jours, immersion culturelle, nature</w:t>
            </w:r>
          </w:p>
        </w:tc>
        <w:tc>
          <w:tcPr>
            <w:tcW w:w="2250" w:type="dxa"/>
          </w:tcPr>
          <w:p>
            <w:r>
              <w:rPr/>
              <w:t>Panier moyen supérieur</w:t>
            </w:r>
          </w:p>
        </w:tc>
      </w:tr>
      <w:tr>
        <w:tc>
          <w:tcPr>
            <w:tcW w:w="2250" w:type="dxa"/>
          </w:tcPr>
          <w:p>
            <w:r>
              <w:rPr/>
              <w:t>Entreprises</w:t>
            </w:r>
          </w:p>
        </w:tc>
        <w:tc>
          <w:tcPr>
            <w:tcW w:w="2250" w:type="dxa"/>
          </w:tcPr>
          <w:p>
            <w:r>
              <w:rPr/>
              <w:t>Cohésion, séminaires, motivation, marque employeur</w:t>
            </w:r>
          </w:p>
        </w:tc>
        <w:tc>
          <w:tcPr>
            <w:tcW w:w="2250" w:type="dxa"/>
          </w:tcPr>
          <w:p>
            <w:r>
              <w:rPr/>
              <w:t>Team building nature, incentives, leadership outdoor</w:t>
            </w:r>
          </w:p>
        </w:tc>
        <w:tc>
          <w:tcPr>
            <w:tcW w:w="2250" w:type="dxa"/>
          </w:tcPr>
          <w:p>
            <w:r>
              <w:rPr/>
              <w:t>Marge forte, faible saisonnalité</w:t>
            </w:r>
          </w:p>
        </w:tc>
      </w:tr>
      <w:tr>
        <w:tc>
          <w:tcPr>
            <w:tcW w:w="2250" w:type="dxa"/>
          </w:tcPr>
          <w:p>
            <w:r>
              <w:rPr/>
              <w:t>Étudiants et associations</w:t>
            </w:r>
          </w:p>
        </w:tc>
        <w:tc>
          <w:tcPr>
            <w:tcW w:w="2250" w:type="dxa"/>
          </w:tcPr>
          <w:p>
            <w:r>
              <w:rPr/>
              <w:t>Budget maîtrisé, apprentissage, groupe</w:t>
            </w:r>
          </w:p>
        </w:tc>
        <w:tc>
          <w:tcPr>
            <w:tcW w:w="2250" w:type="dxa"/>
          </w:tcPr>
          <w:p>
            <w:r>
              <w:rPr/>
              <w:t>Learning trips, camps, sorties pédagogiques</w:t>
            </w:r>
          </w:p>
        </w:tc>
        <w:tc>
          <w:tcPr>
            <w:tcW w:w="2250" w:type="dxa"/>
          </w:tcPr>
          <w:p>
            <w:r>
              <w:rPr/>
              <w:t>Volume récurrent</w:t>
            </w:r>
          </w:p>
        </w:tc>
      </w:tr>
      <w:tr>
        <w:tc>
          <w:tcPr>
            <w:tcW w:w="2250" w:type="dxa"/>
          </w:tcPr>
          <w:p>
            <w:r>
              <w:rPr/>
              <w:t>ONG et institutions</w:t>
            </w:r>
          </w:p>
        </w:tc>
        <w:tc>
          <w:tcPr>
            <w:tcW w:w="2250" w:type="dxa"/>
          </w:tcPr>
          <w:p>
            <w:r>
              <w:rPr/>
              <w:t>Impact, formation, territoire</w:t>
            </w:r>
          </w:p>
        </w:tc>
        <w:tc>
          <w:tcPr>
            <w:tcW w:w="2250" w:type="dxa"/>
          </w:tcPr>
          <w:p>
            <w:r>
              <w:rPr/>
              <w:t>Programmes de développement local et échange culturel</w:t>
            </w:r>
          </w:p>
        </w:tc>
        <w:tc>
          <w:tcPr>
            <w:tcW w:w="2250" w:type="dxa"/>
          </w:tcPr>
          <w:p>
            <w:r>
              <w:rPr/>
              <w:t>Crédibilité et partenariats</w:t>
            </w:r>
          </w:p>
        </w:tc>
      </w:tr>
    </w:tbl>
    <w:p>
      <w:pPr>
        <w:pStyle w:val="Heading2"/>
      </w:pPr>
      <w:r>
        <w:rPr/>
        <w:t>Concurrence</w:t>
      </w:r>
    </w:p>
    <w:p>
      <w:r>
        <w:rPr/>
        <w:t>- Agences de randonnée et excursion locales : fortes sur le terrain, souvent faibles en digital, branding et structuration B2B.</w:t>
      </w:r>
    </w:p>
    <w:p>
      <w:r>
        <w:rPr/>
        <w:t>- Plateformes internationales : visibilité forte, mais relation locale moins différenciante et marges captées par l'intermédiation.</w:t>
      </w:r>
    </w:p>
    <w:p>
      <w:r>
        <w:rPr/>
        <w:t>- Agences touristiques classiques : capacité logistique, mais expériences moins communautaires et moins personnalisées.</w:t>
      </w:r>
    </w:p>
    <w:p>
      <w:r>
        <w:rPr/>
        <w:t>L'avantage défendable de Roamers repose sur la combinaison de quatre actifs : ancrage local, expérience de marque, communauté digitale et capacité à vendre aux entreprises avec des standards professionnels.</w:t>
      </w:r>
    </w:p>
    <w:p>
      <w:pPr>
        <w:pStyle w:val="Heading1"/>
      </w:pPr>
      <w:r>
        <w:rPr/>
        <w:t>4. Offre Et Revenus</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2250"/>
        <w:gridCol w:w="2250"/>
        <w:gridCol w:w="2250"/>
        <w:gridCol w:w="2250"/>
      </w:tblGrid>
      <w:tr>
        <w:tc>
          <w:tcPr>
            <w:tcW w:w="2250" w:type="dxa"/>
            <w:shd w:fill="EAF3F1"/>
          </w:tcPr>
          <w:p>
            <w:r>
              <w:rPr>
                <w:b/>
              </w:rPr>
              <w:t>Ligne d'offre</w:t>
            </w:r>
          </w:p>
        </w:tc>
        <w:tc>
          <w:tcPr>
            <w:tcW w:w="2250" w:type="dxa"/>
            <w:shd w:fill="EAF3F1"/>
          </w:tcPr>
          <w:p>
            <w:r>
              <w:rPr>
                <w:b/>
              </w:rPr>
              <w:t>Description</w:t>
            </w:r>
          </w:p>
        </w:tc>
        <w:tc>
          <w:tcPr>
            <w:tcW w:w="2250" w:type="dxa"/>
            <w:shd w:fill="EAF3F1"/>
          </w:tcPr>
          <w:p>
            <w:r>
              <w:rPr>
                <w:b/>
              </w:rPr>
              <w:t>Prix indicatif</w:t>
            </w:r>
          </w:p>
        </w:tc>
        <w:tc>
          <w:tcPr>
            <w:tcW w:w="2250" w:type="dxa"/>
            <w:shd w:fill="EAF3F1"/>
          </w:tcPr>
          <w:p>
            <w:r>
              <w:rPr>
                <w:b/>
              </w:rPr>
              <w:t>Marge brute cible</w:t>
            </w:r>
          </w:p>
        </w:tc>
      </w:tr>
      <w:tr>
        <w:tc>
          <w:tcPr>
            <w:tcW w:w="2250" w:type="dxa"/>
          </w:tcPr>
          <w:p>
            <w:r>
              <w:rPr/>
              <w:t>B2C - Week-ends aventure</w:t>
            </w:r>
          </w:p>
        </w:tc>
        <w:tc>
          <w:tcPr>
            <w:tcW w:w="2250" w:type="dxa"/>
          </w:tcPr>
          <w:p>
            <w:r>
              <w:rPr/>
              <w:t>Randonnée, montagne, bivouac, découverte régionale</w:t>
            </w:r>
          </w:p>
        </w:tc>
        <w:tc>
          <w:tcPr>
            <w:tcW w:w="2250" w:type="dxa"/>
          </w:tcPr>
          <w:p>
            <w:r>
              <w:rPr/>
              <w:t>350 à 900 MAD/personne</w:t>
            </w:r>
          </w:p>
        </w:tc>
        <w:tc>
          <w:tcPr>
            <w:tcW w:w="2250" w:type="dxa"/>
          </w:tcPr>
          <w:p>
            <w:r>
              <w:rPr/>
              <w:t>30% à 40%</w:t>
            </w:r>
          </w:p>
        </w:tc>
      </w:tr>
      <w:tr>
        <w:tc>
          <w:tcPr>
            <w:tcW w:w="2250" w:type="dxa"/>
          </w:tcPr>
          <w:p>
            <w:r>
              <w:rPr/>
              <w:t>B2C - Circuits premium</w:t>
            </w:r>
          </w:p>
        </w:tc>
        <w:tc>
          <w:tcPr>
            <w:tcW w:w="2250" w:type="dxa"/>
          </w:tcPr>
          <w:p>
            <w:r>
              <w:rPr/>
              <w:t>Programmes 3 à 7 jours pour voyageurs internationaux</w:t>
            </w:r>
          </w:p>
        </w:tc>
        <w:tc>
          <w:tcPr>
            <w:tcW w:w="2250" w:type="dxa"/>
          </w:tcPr>
          <w:p>
            <w:r>
              <w:rPr/>
              <w:t>250 à 900 EUR/personne</w:t>
            </w:r>
          </w:p>
        </w:tc>
        <w:tc>
          <w:tcPr>
            <w:tcW w:w="2250" w:type="dxa"/>
          </w:tcPr>
          <w:p>
            <w:r>
              <w:rPr/>
              <w:t>35% à 45%</w:t>
            </w:r>
          </w:p>
        </w:tc>
      </w:tr>
      <w:tr>
        <w:tc>
          <w:tcPr>
            <w:tcW w:w="2250" w:type="dxa"/>
          </w:tcPr>
          <w:p>
            <w:r>
              <w:rPr/>
              <w:t>B2B - Team building</w:t>
            </w:r>
          </w:p>
        </w:tc>
        <w:tc>
          <w:tcPr>
            <w:tcW w:w="2250" w:type="dxa"/>
          </w:tcPr>
          <w:p>
            <w:r>
              <w:rPr/>
              <w:t>Journées ou week-ends pour entreprises</w:t>
            </w:r>
          </w:p>
        </w:tc>
        <w:tc>
          <w:tcPr>
            <w:tcW w:w="2250" w:type="dxa"/>
          </w:tcPr>
          <w:p>
            <w:r>
              <w:rPr/>
              <w:t>Sur devis, 450 à 1 500 MAD/personne</w:t>
            </w:r>
          </w:p>
        </w:tc>
        <w:tc>
          <w:tcPr>
            <w:tcW w:w="2250" w:type="dxa"/>
          </w:tcPr>
          <w:p>
            <w:r>
              <w:rPr/>
              <w:t>40% à 55%</w:t>
            </w:r>
          </w:p>
        </w:tc>
      </w:tr>
      <w:tr>
        <w:tc>
          <w:tcPr>
            <w:tcW w:w="2250" w:type="dxa"/>
          </w:tcPr>
          <w:p>
            <w:r>
              <w:rPr/>
              <w:t>Programmes immersifs</w:t>
            </w:r>
          </w:p>
        </w:tc>
        <w:tc>
          <w:tcPr>
            <w:tcW w:w="2250" w:type="dxa"/>
          </w:tcPr>
          <w:p>
            <w:r>
              <w:rPr/>
              <w:t>Learning trips, volontariat encadré, culture, terroir</w:t>
            </w:r>
          </w:p>
        </w:tc>
        <w:tc>
          <w:tcPr>
            <w:tcW w:w="2250" w:type="dxa"/>
          </w:tcPr>
          <w:p>
            <w:r>
              <w:rPr/>
              <w:t>Sur devis</w:t>
            </w:r>
          </w:p>
        </w:tc>
        <w:tc>
          <w:tcPr>
            <w:tcW w:w="2250" w:type="dxa"/>
          </w:tcPr>
          <w:p>
            <w:r>
              <w:rPr/>
              <w:t>35% à 50%</w:t>
            </w:r>
          </w:p>
        </w:tc>
      </w:tr>
      <w:tr>
        <w:tc>
          <w:tcPr>
            <w:tcW w:w="2250" w:type="dxa"/>
          </w:tcPr>
          <w:p>
            <w:r>
              <w:rPr/>
              <w:t>Partenariats et commissions</w:t>
            </w:r>
          </w:p>
        </w:tc>
        <w:tc>
          <w:tcPr>
            <w:tcW w:w="2250" w:type="dxa"/>
          </w:tcPr>
          <w:p>
            <w:r>
              <w:rPr/>
              <w:t>Hébergement, transport, guides, activités complémentaires</w:t>
            </w:r>
          </w:p>
        </w:tc>
        <w:tc>
          <w:tcPr>
            <w:tcW w:w="2250" w:type="dxa"/>
          </w:tcPr>
          <w:p>
            <w:r>
              <w:rPr/>
              <w:t>Commission 8% à 15%</w:t>
            </w:r>
          </w:p>
        </w:tc>
        <w:tc>
          <w:tcPr>
            <w:tcW w:w="2250" w:type="dxa"/>
          </w:tcPr>
          <w:p>
            <w:r>
              <w:rPr/>
              <w:t>Variable</w:t>
            </w:r>
          </w:p>
        </w:tc>
      </w:tr>
    </w:tbl>
    <w:p>
      <w:r>
        <w:rPr/>
        <w:t>La stratégie de prix doit préserver une image qualitative : Roamers ne doit pas se battre uniquement sur le prix. L'objectif est d'offrir un excellent rapport expérience/prix tout en protégeant les marges par la standardisation des parcours, la négociation fournisseurs et la vente directe.</w:t>
      </w:r>
    </w:p>
    <w:p>
      <w:pPr>
        <w:pStyle w:val="Heading1"/>
      </w:pPr>
      <w:r>
        <w:rPr/>
        <w:t>5. Go-To-Market</w:t>
      </w:r>
    </w:p>
    <w:p>
      <w:r>
        <w:rPr/>
        <w:t>La commercialisation sera structurée en deux moteurs : acquisition digitale B2C et prospection directe B2B. Les deux canaux se renforcent : le contenu des sorties nourrit la preuve sociale, tandis que les contrats entreprises stabilisent la trésorerie.</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2250"/>
        <w:gridCol w:w="2250"/>
        <w:gridCol w:w="2250"/>
        <w:gridCol w:w="2250"/>
      </w:tblGrid>
      <w:tr>
        <w:tc>
          <w:tcPr>
            <w:tcW w:w="2250" w:type="dxa"/>
            <w:shd w:fill="EAF3F1"/>
          </w:tcPr>
          <w:p>
            <w:r>
              <w:rPr>
                <w:b/>
              </w:rPr>
              <w:t>Période</w:t>
            </w:r>
          </w:p>
        </w:tc>
        <w:tc>
          <w:tcPr>
            <w:tcW w:w="2250" w:type="dxa"/>
            <w:shd w:fill="EAF3F1"/>
          </w:tcPr>
          <w:p>
            <w:r>
              <w:rPr>
                <w:b/>
              </w:rPr>
              <w:t>Priorité</w:t>
            </w:r>
          </w:p>
        </w:tc>
        <w:tc>
          <w:tcPr>
            <w:tcW w:w="2250" w:type="dxa"/>
            <w:shd w:fill="EAF3F1"/>
          </w:tcPr>
          <w:p>
            <w:r>
              <w:rPr>
                <w:b/>
              </w:rPr>
              <w:t>Actions</w:t>
            </w:r>
          </w:p>
        </w:tc>
        <w:tc>
          <w:tcPr>
            <w:tcW w:w="2250" w:type="dxa"/>
            <w:shd w:fill="EAF3F1"/>
          </w:tcPr>
          <w:p>
            <w:r>
              <w:rPr>
                <w:b/>
              </w:rPr>
              <w:t>KPI</w:t>
            </w:r>
          </w:p>
        </w:tc>
      </w:tr>
      <w:tr>
        <w:tc>
          <w:tcPr>
            <w:tcW w:w="2250" w:type="dxa"/>
          </w:tcPr>
          <w:p>
            <w:r>
              <w:rPr/>
              <w:t>Mois 1-3</w:t>
            </w:r>
          </w:p>
        </w:tc>
        <w:tc>
          <w:tcPr>
            <w:tcW w:w="2250" w:type="dxa"/>
          </w:tcPr>
          <w:p>
            <w:r>
              <w:rPr/>
              <w:t>Pré-lancement</w:t>
            </w:r>
          </w:p>
        </w:tc>
        <w:tc>
          <w:tcPr>
            <w:tcW w:w="2250" w:type="dxa"/>
          </w:tcPr>
          <w:p>
            <w:r>
              <w:rPr/>
              <w:t>Identité finale, landing page, 3 circuits pilotes, partenariats guides/hébergeurs</w:t>
            </w:r>
          </w:p>
        </w:tc>
        <w:tc>
          <w:tcPr>
            <w:tcW w:w="2250" w:type="dxa"/>
          </w:tcPr>
          <w:p>
            <w:r>
              <w:rPr/>
              <w:t>3 offres prêtes, 10 partenaires, 300 leads</w:t>
            </w:r>
          </w:p>
        </w:tc>
      </w:tr>
      <w:tr>
        <w:tc>
          <w:tcPr>
            <w:tcW w:w="2250" w:type="dxa"/>
          </w:tcPr>
          <w:p>
            <w:r>
              <w:rPr/>
              <w:t>Mois 4-6</w:t>
            </w:r>
          </w:p>
        </w:tc>
        <w:tc>
          <w:tcPr>
            <w:tcW w:w="2250" w:type="dxa"/>
          </w:tcPr>
          <w:p>
            <w:r>
              <w:rPr/>
              <w:t>Lancement B2C</w:t>
            </w:r>
          </w:p>
        </w:tc>
        <w:tc>
          <w:tcPr>
            <w:tcW w:w="2250" w:type="dxa"/>
          </w:tcPr>
          <w:p>
            <w:r>
              <w:rPr/>
              <w:t>Sorties pilotes, influence locale, contenu TikTok/Instagram, offres groupes</w:t>
            </w:r>
          </w:p>
        </w:tc>
        <w:tc>
          <w:tcPr>
            <w:tcW w:w="2250" w:type="dxa"/>
          </w:tcPr>
          <w:p>
            <w:r>
              <w:rPr/>
              <w:t>8 sorties, 200 clients, avis &gt; 4,7/5</w:t>
            </w:r>
          </w:p>
        </w:tc>
      </w:tr>
      <w:tr>
        <w:tc>
          <w:tcPr>
            <w:tcW w:w="2250" w:type="dxa"/>
          </w:tcPr>
          <w:p>
            <w:r>
              <w:rPr/>
              <w:t>Mois 7-12</w:t>
            </w:r>
          </w:p>
        </w:tc>
        <w:tc>
          <w:tcPr>
            <w:tcW w:w="2250" w:type="dxa"/>
          </w:tcPr>
          <w:p>
            <w:r>
              <w:rPr/>
              <w:t>Accélération B2B</w:t>
            </w:r>
          </w:p>
        </w:tc>
        <w:tc>
          <w:tcPr>
            <w:tcW w:w="2250" w:type="dxa"/>
          </w:tcPr>
          <w:p>
            <w:r>
              <w:rPr/>
              <w:t>Prospection RH/CE, LinkedIn, plaquette entreprise, 20 rendez-vous/mois</w:t>
            </w:r>
          </w:p>
        </w:tc>
        <w:tc>
          <w:tcPr>
            <w:tcW w:w="2250" w:type="dxa"/>
          </w:tcPr>
          <w:p>
            <w:r>
              <w:rPr/>
              <w:t>12 contrats B2B, CA mensuel &gt; 100k MAD</w:t>
            </w:r>
          </w:p>
        </w:tc>
      </w:tr>
      <w:tr>
        <w:tc>
          <w:tcPr>
            <w:tcW w:w="2250" w:type="dxa"/>
          </w:tcPr>
          <w:p>
            <w:r>
              <w:rPr/>
              <w:t>An 2</w:t>
            </w:r>
          </w:p>
        </w:tc>
        <w:tc>
          <w:tcPr>
            <w:tcW w:w="2250" w:type="dxa"/>
          </w:tcPr>
          <w:p>
            <w:r>
              <w:rPr/>
              <w:t>Scalabilité</w:t>
            </w:r>
          </w:p>
        </w:tc>
        <w:tc>
          <w:tcPr>
            <w:tcW w:w="2250" w:type="dxa"/>
          </w:tcPr>
          <w:p>
            <w:r>
              <w:rPr/>
              <w:t>Nouvelles régions, réservation en ligne, CRM, offres premium internationales</w:t>
            </w:r>
          </w:p>
        </w:tc>
        <w:tc>
          <w:tcPr>
            <w:tcW w:w="2250" w:type="dxa"/>
          </w:tcPr>
          <w:p>
            <w:r>
              <w:rPr/>
              <w:t>CA &gt; 2,5 M MAD, réachat &gt; 25%</w:t>
            </w:r>
          </w:p>
        </w:tc>
      </w:tr>
      <w:tr>
        <w:tc>
          <w:tcPr>
            <w:tcW w:w="2250" w:type="dxa"/>
          </w:tcPr>
          <w:p>
            <w:r>
              <w:rPr/>
              <w:t>An 3</w:t>
            </w:r>
          </w:p>
        </w:tc>
        <w:tc>
          <w:tcPr>
            <w:tcW w:w="2250" w:type="dxa"/>
          </w:tcPr>
          <w:p>
            <w:r>
              <w:rPr/>
              <w:t>Expansion</w:t>
            </w:r>
          </w:p>
        </w:tc>
        <w:tc>
          <w:tcPr>
            <w:tcW w:w="2250" w:type="dxa"/>
          </w:tcPr>
          <w:p>
            <w:r>
              <w:rPr/>
              <w:t>Réseau national d'expériences, partenariats internationaux, packages thématiques</w:t>
            </w:r>
          </w:p>
        </w:tc>
        <w:tc>
          <w:tcPr>
            <w:tcW w:w="2250" w:type="dxa"/>
          </w:tcPr>
          <w:p>
            <w:r>
              <w:rPr/>
              <w:t>CA &gt; 4 M MAD, EBITDA &gt; 1 M MAD</w:t>
            </w:r>
          </w:p>
        </w:tc>
      </w:tr>
    </w:tbl>
    <w:p>
      <w:pPr>
        <w:pStyle w:val="Heading2"/>
      </w:pPr>
      <w:r>
        <w:rPr/>
        <w:t>Canaux prioritaires</w:t>
      </w:r>
    </w:p>
    <w:p>
      <w:r>
        <w:rPr/>
        <w:t>- Instagram, TikTok et Facebook pour l'inspiration, la preuve sociale et les jeunes voyageurs.</w:t>
      </w:r>
    </w:p>
    <w:p>
      <w:r>
        <w:rPr/>
        <w:t>- Site web multilingue avec réservation, paiement, FAQ sécurité et témoignages.</w:t>
      </w:r>
    </w:p>
    <w:p>
      <w:r>
        <w:rPr/>
        <w:t>- LinkedIn, réseau RH et prospection directe pour les entreprises.</w:t>
      </w:r>
    </w:p>
    <w:p>
      <w:r>
        <w:rPr/>
        <w:t>- Partenariats avec hébergements, coworkings, universités, associations et créateurs de contenu.</w:t>
      </w:r>
    </w:p>
    <w:p>
      <w:r>
        <w:rPr/>
        <w:t>- SEO autour des requêtes : randonnée Maroc, team building Maroc, voyage immersif Maroc, trekking Atlas, tourisme durable Maroc.</w:t>
      </w:r>
    </w:p>
    <w:p>
      <w:pPr>
        <w:pStyle w:val="Heading1"/>
      </w:pPr>
      <w:r>
        <w:rPr/>
        <w:t>6. Opérations</w:t>
      </w:r>
    </w:p>
    <w:p>
      <w:r>
        <w:rPr/>
        <w:t>Le modèle opérationnel doit être léger au départ, puis progressivement internalisé sur les fonctions critiques : qualité, sécurité, relation client, design d'expérience et commercial B2B.</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3000"/>
        <w:gridCol w:w="3000"/>
        <w:gridCol w:w="3000"/>
      </w:tblGrid>
      <w:tr>
        <w:tc>
          <w:tcPr>
            <w:tcW w:w="3000" w:type="dxa"/>
            <w:shd w:fill="EAF3F1"/>
          </w:tcPr>
          <w:p>
            <w:r>
              <w:rPr>
                <w:b/>
              </w:rPr>
              <w:t>Ressource</w:t>
            </w:r>
          </w:p>
        </w:tc>
        <w:tc>
          <w:tcPr>
            <w:tcW w:w="3000" w:type="dxa"/>
            <w:shd w:fill="EAF3F1"/>
          </w:tcPr>
          <w:p>
            <w:r>
              <w:rPr>
                <w:b/>
              </w:rPr>
              <w:t>Phase 1</w:t>
            </w:r>
          </w:p>
        </w:tc>
        <w:tc>
          <w:tcPr>
            <w:tcW w:w="3000" w:type="dxa"/>
            <w:shd w:fill="EAF3F1"/>
          </w:tcPr>
          <w:p>
            <w:r>
              <w:rPr>
                <w:b/>
              </w:rPr>
              <w:t>Phase 2</w:t>
            </w:r>
          </w:p>
        </w:tc>
      </w:tr>
      <w:tr>
        <w:tc>
          <w:tcPr>
            <w:tcW w:w="3000" w:type="dxa"/>
          </w:tcPr>
          <w:p>
            <w:r>
              <w:rPr/>
              <w:t>Équipe noyau</w:t>
            </w:r>
          </w:p>
        </w:tc>
        <w:tc>
          <w:tcPr>
            <w:tcW w:w="3000" w:type="dxa"/>
          </w:tcPr>
          <w:p>
            <w:r>
              <w:rPr/>
              <w:t>Fondateur/CEO, responsable opérations freelance ou part-time, support marketing</w:t>
            </w:r>
          </w:p>
        </w:tc>
        <w:tc>
          <w:tcPr>
            <w:tcW w:w="3000" w:type="dxa"/>
          </w:tcPr>
          <w:p>
            <w:r>
              <w:rPr/>
              <w:t>Responsable opérations full-time, commercial B2B, community manager</w:t>
            </w:r>
          </w:p>
        </w:tc>
      </w:tr>
      <w:tr>
        <w:tc>
          <w:tcPr>
            <w:tcW w:w="3000" w:type="dxa"/>
          </w:tcPr>
          <w:p>
            <w:r>
              <w:rPr/>
              <w:t>Guides</w:t>
            </w:r>
          </w:p>
        </w:tc>
        <w:tc>
          <w:tcPr>
            <w:tcW w:w="3000" w:type="dxa"/>
          </w:tcPr>
          <w:p>
            <w:r>
              <w:rPr/>
              <w:t>Réseau freelance qualifié par région</w:t>
            </w:r>
          </w:p>
        </w:tc>
        <w:tc>
          <w:tcPr>
            <w:tcW w:w="3000" w:type="dxa"/>
          </w:tcPr>
          <w:p>
            <w:r>
              <w:rPr/>
              <w:t>Pool certifié avec formation Roamers</w:t>
            </w:r>
          </w:p>
        </w:tc>
      </w:tr>
      <w:tr>
        <w:tc>
          <w:tcPr>
            <w:tcW w:w="3000" w:type="dxa"/>
          </w:tcPr>
          <w:p>
            <w:r>
              <w:rPr/>
              <w:t>Transport</w:t>
            </w:r>
          </w:p>
        </w:tc>
        <w:tc>
          <w:tcPr>
            <w:tcW w:w="3000" w:type="dxa"/>
          </w:tcPr>
          <w:p>
            <w:r>
              <w:rPr/>
              <w:t>Location et transporteurs agréés</w:t>
            </w:r>
          </w:p>
        </w:tc>
        <w:tc>
          <w:tcPr>
            <w:tcW w:w="3000" w:type="dxa"/>
          </w:tcPr>
          <w:p>
            <w:r>
              <w:rPr/>
              <w:t>Contrats cadres + véhicule propre si volume justifié</w:t>
            </w:r>
          </w:p>
        </w:tc>
      </w:tr>
      <w:tr>
        <w:tc>
          <w:tcPr>
            <w:tcW w:w="3000" w:type="dxa"/>
          </w:tcPr>
          <w:p>
            <w:r>
              <w:rPr/>
              <w:t>Hébergement</w:t>
            </w:r>
          </w:p>
        </w:tc>
        <w:tc>
          <w:tcPr>
            <w:tcW w:w="3000" w:type="dxa"/>
          </w:tcPr>
          <w:p>
            <w:r>
              <w:rPr/>
              <w:t>Gîtes, maisons d'hôtes, bivouacs partenaires</w:t>
            </w:r>
          </w:p>
        </w:tc>
        <w:tc>
          <w:tcPr>
            <w:tcW w:w="3000" w:type="dxa"/>
          </w:tcPr>
          <w:p>
            <w:r>
              <w:rPr/>
              <w:t>Accords de capacité et standards qualité</w:t>
            </w:r>
          </w:p>
        </w:tc>
      </w:tr>
      <w:tr>
        <w:tc>
          <w:tcPr>
            <w:tcW w:w="3000" w:type="dxa"/>
          </w:tcPr>
          <w:p>
            <w:r>
              <w:rPr/>
              <w:t>Technologie</w:t>
            </w:r>
          </w:p>
        </w:tc>
        <w:tc>
          <w:tcPr>
            <w:tcW w:w="3000" w:type="dxa"/>
          </w:tcPr>
          <w:p>
            <w:r>
              <w:rPr/>
              <w:t>Site vitrine + formulaires + CRM simple</w:t>
            </w:r>
          </w:p>
        </w:tc>
        <w:tc>
          <w:tcPr>
            <w:tcW w:w="3000" w:type="dxa"/>
          </w:tcPr>
          <w:p>
            <w:r>
              <w:rPr/>
              <w:t>Réservation en ligne, paiement, automatisation client</w:t>
            </w:r>
          </w:p>
        </w:tc>
      </w:tr>
    </w:tbl>
    <w:p>
      <w:pPr>
        <w:pStyle w:val="Heading2"/>
      </w:pPr>
      <w:r>
        <w:rPr/>
        <w:t>Standards qualité et sécurité</w:t>
      </w:r>
    </w:p>
    <w:p>
      <w:r>
        <w:rPr/>
        <w:t>- Brief sécurité avant chaque activité et fiche de risque par destination.</w:t>
      </w:r>
    </w:p>
    <w:p>
      <w:r>
        <w:rPr/>
        <w:t>- Assurance responsabilité civile professionnelle et couverture adaptée aux activités outdoor.</w:t>
      </w:r>
    </w:p>
    <w:p>
      <w:r>
        <w:rPr/>
        <w:t>- Validation fournisseurs : autorisations, qualité, ponctualité, hygiène, retours clients.</w:t>
      </w:r>
    </w:p>
    <w:p>
      <w:r>
        <w:rPr/>
        <w:t>- Checklists opérationnelles : météo, transport, premiers secours, contacts urgence, itinéraire alternatif.</w:t>
      </w:r>
    </w:p>
    <w:p>
      <w:r>
        <w:rPr/>
        <w:t>- Questionnaire post-expérience et suivi systématique des avis.</w:t>
      </w:r>
    </w:p>
    <w:p>
      <w:pPr>
        <w:pStyle w:val="Heading1"/>
      </w:pPr>
      <w:r>
        <w:rPr/>
        <w:t>7. Équipe Et Gouvernance</w:t>
      </w:r>
    </w:p>
    <w:p>
      <w:r>
        <w:rPr/>
        <w:t>Les informations nominatives restent à compléter avant présentation finale. Pour un investisseur privé, la section équipe doit être précise : parcours du fondateur, rôle des cofondateurs, disponibilité, parts détenues, compétences clés et conseillers éventuels.</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3000"/>
        <w:gridCol w:w="3000"/>
        <w:gridCol w:w="3000"/>
      </w:tblGrid>
      <w:tr>
        <w:tc>
          <w:tcPr>
            <w:tcW w:w="3000" w:type="dxa"/>
            <w:shd w:fill="EAF3F1"/>
          </w:tcPr>
          <w:p>
            <w:r>
              <w:rPr>
                <w:b/>
              </w:rPr>
              <w:t>Rôle</w:t>
            </w:r>
          </w:p>
        </w:tc>
        <w:tc>
          <w:tcPr>
            <w:tcW w:w="3000" w:type="dxa"/>
            <w:shd w:fill="EAF3F1"/>
          </w:tcPr>
          <w:p>
            <w:r>
              <w:rPr>
                <w:b/>
              </w:rPr>
              <w:t>Responsabilités</w:t>
            </w:r>
          </w:p>
        </w:tc>
        <w:tc>
          <w:tcPr>
            <w:tcW w:w="3000" w:type="dxa"/>
            <w:shd w:fill="EAF3F1"/>
          </w:tcPr>
          <w:p>
            <w:r>
              <w:rPr>
                <w:b/>
              </w:rPr>
              <w:t>Profil recherché / à compléter</w:t>
            </w:r>
          </w:p>
        </w:tc>
      </w:tr>
      <w:tr>
        <w:tc>
          <w:tcPr>
            <w:tcW w:w="3000" w:type="dxa"/>
          </w:tcPr>
          <w:p>
            <w:r>
              <w:rPr/>
              <w:t>CEO / Fondateur</w:t>
            </w:r>
          </w:p>
        </w:tc>
        <w:tc>
          <w:tcPr>
            <w:tcW w:w="3000" w:type="dxa"/>
          </w:tcPr>
          <w:p>
            <w:r>
              <w:rPr/>
              <w:t>Vision, partenariats, levée de fonds, grands comptes</w:t>
            </w:r>
          </w:p>
        </w:tc>
        <w:tc>
          <w:tcPr>
            <w:tcW w:w="3000" w:type="dxa"/>
          </w:tcPr>
          <w:p>
            <w:r>
              <w:rPr/>
              <w:t>Nom, expérience tourisme/terrain, réseau local, leadership</w:t>
            </w:r>
          </w:p>
        </w:tc>
      </w:tr>
      <w:tr>
        <w:tc>
          <w:tcPr>
            <w:tcW w:w="3000" w:type="dxa"/>
          </w:tcPr>
          <w:p>
            <w:r>
              <w:rPr/>
              <w:t>Responsable opérations</w:t>
            </w:r>
          </w:p>
        </w:tc>
        <w:tc>
          <w:tcPr>
            <w:tcW w:w="3000" w:type="dxa"/>
          </w:tcPr>
          <w:p>
            <w:r>
              <w:rPr/>
              <w:t>Planification, guides, transport, fournisseurs, sécurité</w:t>
            </w:r>
          </w:p>
        </w:tc>
        <w:tc>
          <w:tcPr>
            <w:tcW w:w="3000" w:type="dxa"/>
          </w:tcPr>
          <w:p>
            <w:r>
              <w:rPr/>
              <w:t>Profil logistique, terrain, gestion de groupe</w:t>
            </w:r>
          </w:p>
        </w:tc>
      </w:tr>
      <w:tr>
        <w:tc>
          <w:tcPr>
            <w:tcW w:w="3000" w:type="dxa"/>
          </w:tcPr>
          <w:p>
            <w:r>
              <w:rPr/>
              <w:t>Marketing &amp; contenu</w:t>
            </w:r>
          </w:p>
        </w:tc>
        <w:tc>
          <w:tcPr>
            <w:tcW w:w="3000" w:type="dxa"/>
          </w:tcPr>
          <w:p>
            <w:r>
              <w:rPr/>
              <w:t>Acquisition B2C, storytelling, réseaux sociaux, CRM</w:t>
            </w:r>
          </w:p>
        </w:tc>
        <w:tc>
          <w:tcPr>
            <w:tcW w:w="3000" w:type="dxa"/>
          </w:tcPr>
          <w:p>
            <w:r>
              <w:rPr/>
              <w:t>Créateur contenu + performance marketing</w:t>
            </w:r>
          </w:p>
        </w:tc>
      </w:tr>
      <w:tr>
        <w:tc>
          <w:tcPr>
            <w:tcW w:w="3000" w:type="dxa"/>
          </w:tcPr>
          <w:p>
            <w:r>
              <w:rPr/>
              <w:t>Commercial B2B</w:t>
            </w:r>
          </w:p>
        </w:tc>
        <w:tc>
          <w:tcPr>
            <w:tcW w:w="3000" w:type="dxa"/>
          </w:tcPr>
          <w:p>
            <w:r>
              <w:rPr/>
              <w:t>Prospection entreprises, offres sur mesure, closing</w:t>
            </w:r>
          </w:p>
        </w:tc>
        <w:tc>
          <w:tcPr>
            <w:tcW w:w="3000" w:type="dxa"/>
          </w:tcPr>
          <w:p>
            <w:r>
              <w:rPr/>
              <w:t>Profil vente consultative, réseau RH/dirigeants</w:t>
            </w:r>
          </w:p>
        </w:tc>
      </w:tr>
      <w:tr>
        <w:tc>
          <w:tcPr>
            <w:tcW w:w="3000" w:type="dxa"/>
          </w:tcPr>
          <w:p>
            <w:r>
              <w:rPr/>
              <w:t>Conseillers</w:t>
            </w:r>
          </w:p>
        </w:tc>
        <w:tc>
          <w:tcPr>
            <w:tcW w:w="3000" w:type="dxa"/>
          </w:tcPr>
          <w:p>
            <w:r>
              <w:rPr/>
              <w:t>Comptabilité, juridique, tourisme, sécurité outdoor</w:t>
            </w:r>
          </w:p>
        </w:tc>
        <w:tc>
          <w:tcPr>
            <w:tcW w:w="3000" w:type="dxa"/>
          </w:tcPr>
          <w:p>
            <w:r>
              <w:rPr/>
              <w:t>Experts externes à formaliser</w:t>
            </w:r>
          </w:p>
        </w:tc>
      </w:tr>
    </w:tbl>
    <w:p>
      <w:r>
        <w:rPr/>
        <w:t>Gouvernance proposée : reporting mensuel à l'investisseur pendant 18 mois, tableau de bord financier, validation des dépenses supérieures à un seuil à définir, revue stratégique trimestrielle et pacte d'associés couvrant dilution, sortie, rôles et clauses de protection.</w:t>
      </w:r>
    </w:p>
    <w:p>
      <w:pPr>
        <w:pStyle w:val="Heading1"/>
      </w:pPr>
      <w:r>
        <w:rPr/>
        <w:t>8. Besoin De Financement Et Usage Des Fonds</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3000"/>
        <w:gridCol w:w="3000"/>
        <w:gridCol w:w="3000"/>
      </w:tblGrid>
      <w:tr>
        <w:tc>
          <w:tcPr>
            <w:tcW w:w="3000" w:type="dxa"/>
            <w:shd w:fill="EAF3F1"/>
          </w:tcPr>
          <w:p>
            <w:r>
              <w:rPr>
                <w:b/>
              </w:rPr>
              <w:t>Poste</w:t>
            </w:r>
          </w:p>
        </w:tc>
        <w:tc>
          <w:tcPr>
            <w:tcW w:w="3000" w:type="dxa"/>
            <w:shd w:fill="EAF3F1"/>
          </w:tcPr>
          <w:p>
            <w:r>
              <w:rPr>
                <w:b/>
              </w:rPr>
              <w:t>Montant MAD</w:t>
            </w:r>
          </w:p>
        </w:tc>
        <w:tc>
          <w:tcPr>
            <w:tcW w:w="3000" w:type="dxa"/>
            <w:shd w:fill="EAF3F1"/>
          </w:tcPr>
          <w:p>
            <w:r>
              <w:rPr>
                <w:b/>
              </w:rPr>
              <w:t>%</w:t>
            </w:r>
          </w:p>
        </w:tc>
      </w:tr>
      <w:tr>
        <w:tc>
          <w:tcPr>
            <w:tcW w:w="3000" w:type="dxa"/>
          </w:tcPr>
          <w:p>
            <w:r>
              <w:rPr/>
              <w:t>Création juridique, licences, conseil comptable et assurance</w:t>
            </w:r>
          </w:p>
        </w:tc>
        <w:tc>
          <w:tcPr>
            <w:tcW w:w="3000" w:type="dxa"/>
          </w:tcPr>
          <w:p>
            <w:r>
              <w:rPr/>
              <w:t>55 000</w:t>
            </w:r>
          </w:p>
        </w:tc>
        <w:tc>
          <w:tcPr>
            <w:tcW w:w="3000" w:type="dxa"/>
          </w:tcPr>
          <w:p>
            <w:r>
              <w:rPr/>
              <w:t>9%</w:t>
            </w:r>
          </w:p>
        </w:tc>
      </w:tr>
      <w:tr>
        <w:tc>
          <w:tcPr>
            <w:tcW w:w="3000" w:type="dxa"/>
          </w:tcPr>
          <w:p>
            <w:r>
              <w:rPr/>
              <w:t>Identité de marque, site web, réservation simple, contenus de lancement</w:t>
            </w:r>
          </w:p>
        </w:tc>
        <w:tc>
          <w:tcPr>
            <w:tcW w:w="3000" w:type="dxa"/>
          </w:tcPr>
          <w:p>
            <w:r>
              <w:rPr/>
              <w:t>95 000</w:t>
            </w:r>
          </w:p>
        </w:tc>
        <w:tc>
          <w:tcPr>
            <w:tcW w:w="3000" w:type="dxa"/>
          </w:tcPr>
          <w:p>
            <w:r>
              <w:rPr/>
              <w:t>16%</w:t>
            </w:r>
          </w:p>
        </w:tc>
      </w:tr>
      <w:tr>
        <w:tc>
          <w:tcPr>
            <w:tcW w:w="3000" w:type="dxa"/>
          </w:tcPr>
          <w:p>
            <w:r>
              <w:rPr/>
              <w:t>Équipement terrain, sécurité, premiers secours, matériel photo/vidéo</w:t>
            </w:r>
          </w:p>
        </w:tc>
        <w:tc>
          <w:tcPr>
            <w:tcW w:w="3000" w:type="dxa"/>
          </w:tcPr>
          <w:p>
            <w:r>
              <w:rPr/>
              <w:t>120 000</w:t>
            </w:r>
          </w:p>
        </w:tc>
        <w:tc>
          <w:tcPr>
            <w:tcW w:w="3000" w:type="dxa"/>
          </w:tcPr>
          <w:p>
            <w:r>
              <w:rPr/>
              <w:t>20%</w:t>
            </w:r>
          </w:p>
        </w:tc>
      </w:tr>
      <w:tr>
        <w:tc>
          <w:tcPr>
            <w:tcW w:w="3000" w:type="dxa"/>
          </w:tcPr>
          <w:p>
            <w:r>
              <w:rPr/>
              <w:t>Marketing de lancement et acquisition client sur 12 mois</w:t>
            </w:r>
          </w:p>
        </w:tc>
        <w:tc>
          <w:tcPr>
            <w:tcW w:w="3000" w:type="dxa"/>
          </w:tcPr>
          <w:p>
            <w:r>
              <w:rPr/>
              <w:t>150 000</w:t>
            </w:r>
          </w:p>
        </w:tc>
        <w:tc>
          <w:tcPr>
            <w:tcW w:w="3000" w:type="dxa"/>
          </w:tcPr>
          <w:p>
            <w:r>
              <w:rPr/>
              <w:t>25%</w:t>
            </w:r>
          </w:p>
        </w:tc>
      </w:tr>
      <w:tr>
        <w:tc>
          <w:tcPr>
            <w:tcW w:w="3000" w:type="dxa"/>
          </w:tcPr>
          <w:p>
            <w:r>
              <w:rPr/>
              <w:t>Fonds de roulement et avance fournisseurs</w:t>
            </w:r>
          </w:p>
        </w:tc>
        <w:tc>
          <w:tcPr>
            <w:tcW w:w="3000" w:type="dxa"/>
          </w:tcPr>
          <w:p>
            <w:r>
              <w:rPr/>
              <w:t>120 000</w:t>
            </w:r>
          </w:p>
        </w:tc>
        <w:tc>
          <w:tcPr>
            <w:tcW w:w="3000" w:type="dxa"/>
          </w:tcPr>
          <w:p>
            <w:r>
              <w:rPr/>
              <w:t>20%</w:t>
            </w:r>
          </w:p>
        </w:tc>
      </w:tr>
      <w:tr>
        <w:tc>
          <w:tcPr>
            <w:tcW w:w="3000" w:type="dxa"/>
          </w:tcPr>
          <w:p>
            <w:r>
              <w:rPr/>
              <w:t>Formation guides, qualité, déplacements de prospection</w:t>
            </w:r>
          </w:p>
        </w:tc>
        <w:tc>
          <w:tcPr>
            <w:tcW w:w="3000" w:type="dxa"/>
          </w:tcPr>
          <w:p>
            <w:r>
              <w:rPr/>
              <w:t>40 000</w:t>
            </w:r>
          </w:p>
        </w:tc>
        <w:tc>
          <w:tcPr>
            <w:tcW w:w="3000" w:type="dxa"/>
          </w:tcPr>
          <w:p>
            <w:r>
              <w:rPr/>
              <w:t>7%</w:t>
            </w:r>
          </w:p>
        </w:tc>
      </w:tr>
      <w:tr>
        <w:tc>
          <w:tcPr>
            <w:tcW w:w="3000" w:type="dxa"/>
          </w:tcPr>
          <w:p>
            <w:r>
              <w:rPr/>
              <w:t>Marge de sécurité</w:t>
            </w:r>
          </w:p>
        </w:tc>
        <w:tc>
          <w:tcPr>
            <w:tcW w:w="3000" w:type="dxa"/>
          </w:tcPr>
          <w:p>
            <w:r>
              <w:rPr/>
              <w:t>20 000</w:t>
            </w:r>
          </w:p>
        </w:tc>
        <w:tc>
          <w:tcPr>
            <w:tcW w:w="3000" w:type="dxa"/>
          </w:tcPr>
          <w:p>
            <w:r>
              <w:rPr/>
              <w:t>3%</w:t>
            </w:r>
          </w:p>
        </w:tc>
      </w:tr>
      <w:tr>
        <w:tc>
          <w:tcPr>
            <w:tcW w:w="3000" w:type="dxa"/>
          </w:tcPr>
          <w:p>
            <w:r>
              <w:rPr/>
              <w:t>Total besoin initial</w:t>
            </w:r>
          </w:p>
        </w:tc>
        <w:tc>
          <w:tcPr>
            <w:tcW w:w="3000" w:type="dxa"/>
          </w:tcPr>
          <w:p>
            <w:r>
              <w:rPr/>
              <w:t>600 000</w:t>
            </w:r>
          </w:p>
        </w:tc>
        <w:tc>
          <w:tcPr>
            <w:tcW w:w="3000" w:type="dxa"/>
          </w:tcPr>
          <w:p>
            <w:r>
              <w:rPr/>
              <w:t>100%</w:t>
            </w:r>
          </w:p>
        </w:tc>
      </w:tr>
    </w:tbl>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3000"/>
        <w:gridCol w:w="3000"/>
        <w:gridCol w:w="3000"/>
      </w:tblGrid>
      <w:tr>
        <w:tc>
          <w:tcPr>
            <w:tcW w:w="3000" w:type="dxa"/>
            <w:shd w:fill="EAF3F1"/>
          </w:tcPr>
          <w:p>
            <w:r>
              <w:rPr>
                <w:b/>
              </w:rPr>
              <w:t>Source</w:t>
            </w:r>
          </w:p>
        </w:tc>
        <w:tc>
          <w:tcPr>
            <w:tcW w:w="3000" w:type="dxa"/>
            <w:shd w:fill="EAF3F1"/>
          </w:tcPr>
          <w:p>
            <w:r>
              <w:rPr>
                <w:b/>
              </w:rPr>
              <w:t>Montant MAD</w:t>
            </w:r>
          </w:p>
        </w:tc>
        <w:tc>
          <w:tcPr>
            <w:tcW w:w="3000" w:type="dxa"/>
            <w:shd w:fill="EAF3F1"/>
          </w:tcPr>
          <w:p>
            <w:r>
              <w:rPr>
                <w:b/>
              </w:rPr>
              <w:t>Commentaire</w:t>
            </w:r>
          </w:p>
        </w:tc>
      </w:tr>
      <w:tr>
        <w:tc>
          <w:tcPr>
            <w:tcW w:w="3000" w:type="dxa"/>
          </w:tcPr>
          <w:p>
            <w:r>
              <w:rPr/>
              <w:t>Apport fondateurs</w:t>
            </w:r>
          </w:p>
        </w:tc>
        <w:tc>
          <w:tcPr>
            <w:tcW w:w="3000" w:type="dxa"/>
          </w:tcPr>
          <w:p>
            <w:r>
              <w:rPr/>
              <w:t>100 000</w:t>
            </w:r>
          </w:p>
        </w:tc>
        <w:tc>
          <w:tcPr>
            <w:tcW w:w="3000" w:type="dxa"/>
          </w:tcPr>
          <w:p>
            <w:r>
              <w:rPr/>
              <w:t>À confirmer selon capacité réelle</w:t>
            </w:r>
          </w:p>
        </w:tc>
      </w:tr>
      <w:tr>
        <w:tc>
          <w:tcPr>
            <w:tcW w:w="3000" w:type="dxa"/>
          </w:tcPr>
          <w:p>
            <w:r>
              <w:rPr/>
              <w:t>Investisseur privé</w:t>
            </w:r>
          </w:p>
        </w:tc>
        <w:tc>
          <w:tcPr>
            <w:tcW w:w="3000" w:type="dxa"/>
          </w:tcPr>
          <w:p>
            <w:r>
              <w:rPr/>
              <w:t>450 000</w:t>
            </w:r>
          </w:p>
        </w:tc>
        <w:tc>
          <w:tcPr>
            <w:tcW w:w="3000" w:type="dxa"/>
          </w:tcPr>
          <w:p>
            <w:r>
              <w:rPr/>
              <w:t>Ticket cible de démarrage</w:t>
            </w:r>
          </w:p>
        </w:tc>
      </w:tr>
      <w:tr>
        <w:tc>
          <w:tcPr>
            <w:tcW w:w="3000" w:type="dxa"/>
          </w:tcPr>
          <w:p>
            <w:r>
              <w:rPr/>
              <w:t>Subvention, prêt d'honneur ou dette légère</w:t>
            </w:r>
          </w:p>
        </w:tc>
        <w:tc>
          <w:tcPr>
            <w:tcW w:w="3000" w:type="dxa"/>
          </w:tcPr>
          <w:p>
            <w:r>
              <w:rPr/>
              <w:t>50 000</w:t>
            </w:r>
          </w:p>
        </w:tc>
        <w:tc>
          <w:tcPr>
            <w:tcW w:w="3000" w:type="dxa"/>
          </w:tcPr>
          <w:p>
            <w:r>
              <w:rPr/>
              <w:t>Optionnel selon dispositifs disponibles</w:t>
            </w:r>
          </w:p>
        </w:tc>
      </w:tr>
      <w:tr>
        <w:tc>
          <w:tcPr>
            <w:tcW w:w="3000" w:type="dxa"/>
          </w:tcPr>
          <w:p>
            <w:r>
              <w:rPr/>
              <w:t>Total financement</w:t>
            </w:r>
          </w:p>
        </w:tc>
        <w:tc>
          <w:tcPr>
            <w:tcW w:w="3000" w:type="dxa"/>
          </w:tcPr>
          <w:p>
            <w:r>
              <w:rPr/>
              <w:t>600 000</w:t>
            </w:r>
          </w:p>
        </w:tc>
        <w:tc>
          <w:tcPr>
            <w:tcW w:w="3000" w:type="dxa"/>
          </w:tcPr>
          <w:p>
            <w:r>
              <w:rPr/>
              <w:t>Équilibre du plan initial</w:t>
            </w:r>
          </w:p>
        </w:tc>
      </w:tr>
    </w:tbl>
    <w:p>
      <w:pPr>
        <w:pStyle w:val="Heading2"/>
      </w:pPr>
      <w:r>
        <w:rPr/>
        <w:t>Structure proposée à discuter</w:t>
      </w:r>
    </w:p>
    <w:p>
      <w:r>
        <w:rPr/>
        <w:t>- Option 1 : entrée directe au capital sur une valorisation pré-money à négocier après validation des actifs, contrats et traction.</w:t>
      </w:r>
    </w:p>
    <w:p>
      <w:r>
        <w:rPr/>
        <w:t>- Option 2 : avance convertible, permettant de fixer la valorisation lors d'un tour suivant ou après atteinte de jalons commerciaux.</w:t>
      </w:r>
    </w:p>
    <w:p>
      <w:r>
        <w:rPr/>
        <w:t>- Option 3 : mix capital + compte courant d'associé, si l'investisseur souhaite un profil rendement/risque plus encadré.</w:t>
      </w:r>
    </w:p>
    <w:p>
      <w:pPr>
        <w:pStyle w:val="Heading1"/>
      </w:pPr>
      <w:r>
        <w:rPr/>
        <w:t>9. Prévisions Financières</w:t>
      </w:r>
    </w:p>
    <w:p>
      <w:r>
        <w:rPr/>
        <w:t>Hypothèses principales : démarrage progressif, panier moyen B2C de 500 à 750 MAD selon offre, panier B2B supérieur, marge brute moyenne passant de 36% à 43% grâce à l'industrialisation opérationnelle, charges fixes maîtrisées et marketing plus efficient à partir de l'an 2.</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2250"/>
        <w:gridCol w:w="2250"/>
        <w:gridCol w:w="2250"/>
        <w:gridCol w:w="2250"/>
      </w:tblGrid>
      <w:tr>
        <w:tc>
          <w:tcPr>
            <w:tcW w:w="2250" w:type="dxa"/>
            <w:shd w:fill="EAF3F1"/>
          </w:tcPr>
          <w:p>
            <w:r>
              <w:rPr>
                <w:b/>
              </w:rPr>
              <w:t>Compte de résultat simplifié</w:t>
            </w:r>
          </w:p>
        </w:tc>
        <w:tc>
          <w:tcPr>
            <w:tcW w:w="2250" w:type="dxa"/>
            <w:shd w:fill="EAF3F1"/>
          </w:tcPr>
          <w:p>
            <w:r>
              <w:rPr>
                <w:b/>
              </w:rPr>
              <w:t>An 1</w:t>
            </w:r>
          </w:p>
        </w:tc>
        <w:tc>
          <w:tcPr>
            <w:tcW w:w="2250" w:type="dxa"/>
            <w:shd w:fill="EAF3F1"/>
          </w:tcPr>
          <w:p>
            <w:r>
              <w:rPr>
                <w:b/>
              </w:rPr>
              <w:t>An 2</w:t>
            </w:r>
          </w:p>
        </w:tc>
        <w:tc>
          <w:tcPr>
            <w:tcW w:w="2250" w:type="dxa"/>
            <w:shd w:fill="EAF3F1"/>
          </w:tcPr>
          <w:p>
            <w:r>
              <w:rPr>
                <w:b/>
              </w:rPr>
              <w:t>An 3</w:t>
            </w:r>
          </w:p>
        </w:tc>
      </w:tr>
      <w:tr>
        <w:tc>
          <w:tcPr>
            <w:tcW w:w="2250" w:type="dxa"/>
          </w:tcPr>
          <w:p>
            <w:r>
              <w:rPr/>
              <w:t>Chiffre d'affaires B2C</w:t>
            </w:r>
          </w:p>
        </w:tc>
        <w:tc>
          <w:tcPr>
            <w:tcW w:w="2250" w:type="dxa"/>
          </w:tcPr>
          <w:p>
            <w:r>
              <w:rPr/>
              <w:t>650 000</w:t>
            </w:r>
          </w:p>
        </w:tc>
        <w:tc>
          <w:tcPr>
            <w:tcW w:w="2250" w:type="dxa"/>
          </w:tcPr>
          <w:p>
            <w:r>
              <w:rPr/>
              <w:t>1 250 000</w:t>
            </w:r>
          </w:p>
        </w:tc>
        <w:tc>
          <w:tcPr>
            <w:tcW w:w="2250" w:type="dxa"/>
          </w:tcPr>
          <w:p>
            <w:r>
              <w:rPr/>
              <w:t>2 050 000</w:t>
            </w:r>
          </w:p>
        </w:tc>
      </w:tr>
      <w:tr>
        <w:tc>
          <w:tcPr>
            <w:tcW w:w="2250" w:type="dxa"/>
          </w:tcPr>
          <w:p>
            <w:r>
              <w:rPr/>
              <w:t>Chiffre d'affaires B2B</w:t>
            </w:r>
          </w:p>
        </w:tc>
        <w:tc>
          <w:tcPr>
            <w:tcW w:w="2250" w:type="dxa"/>
          </w:tcPr>
          <w:p>
            <w:r>
              <w:rPr/>
              <w:t>380 000</w:t>
            </w:r>
          </w:p>
        </w:tc>
        <w:tc>
          <w:tcPr>
            <w:tcW w:w="2250" w:type="dxa"/>
          </w:tcPr>
          <w:p>
            <w:r>
              <w:rPr/>
              <w:t>950 000</w:t>
            </w:r>
          </w:p>
        </w:tc>
        <w:tc>
          <w:tcPr>
            <w:tcW w:w="2250" w:type="dxa"/>
          </w:tcPr>
          <w:p>
            <w:r>
              <w:rPr/>
              <w:t>1 600 000</w:t>
            </w:r>
          </w:p>
        </w:tc>
      </w:tr>
      <w:tr>
        <w:tc>
          <w:tcPr>
            <w:tcW w:w="2250" w:type="dxa"/>
          </w:tcPr>
          <w:p>
            <w:r>
              <w:rPr/>
              <w:t>Programmes immersifs / partenariats</w:t>
            </w:r>
          </w:p>
        </w:tc>
        <w:tc>
          <w:tcPr>
            <w:tcW w:w="2250" w:type="dxa"/>
          </w:tcPr>
          <w:p>
            <w:r>
              <w:rPr/>
              <w:t>170 000</w:t>
            </w:r>
          </w:p>
        </w:tc>
        <w:tc>
          <w:tcPr>
            <w:tcW w:w="2250" w:type="dxa"/>
          </w:tcPr>
          <w:p>
            <w:r>
              <w:rPr/>
              <w:t>350 000</w:t>
            </w:r>
          </w:p>
        </w:tc>
        <w:tc>
          <w:tcPr>
            <w:tcW w:w="2250" w:type="dxa"/>
          </w:tcPr>
          <w:p>
            <w:r>
              <w:rPr/>
              <w:t>700 000</w:t>
            </w:r>
          </w:p>
        </w:tc>
      </w:tr>
      <w:tr>
        <w:tc>
          <w:tcPr>
            <w:tcW w:w="2250" w:type="dxa"/>
          </w:tcPr>
          <w:p>
            <w:r>
              <w:rPr/>
              <w:t>Total chiffre d'affaires</w:t>
            </w:r>
          </w:p>
        </w:tc>
        <w:tc>
          <w:tcPr>
            <w:tcW w:w="2250" w:type="dxa"/>
          </w:tcPr>
          <w:p>
            <w:r>
              <w:rPr/>
              <w:t>1 200 000</w:t>
            </w:r>
          </w:p>
        </w:tc>
        <w:tc>
          <w:tcPr>
            <w:tcW w:w="2250" w:type="dxa"/>
          </w:tcPr>
          <w:p>
            <w:r>
              <w:rPr/>
              <w:t>2 550 000</w:t>
            </w:r>
          </w:p>
        </w:tc>
        <w:tc>
          <w:tcPr>
            <w:tcW w:w="2250" w:type="dxa"/>
          </w:tcPr>
          <w:p>
            <w:r>
              <w:rPr/>
              <w:t>4 350 000</w:t>
            </w:r>
          </w:p>
        </w:tc>
      </w:tr>
      <w:tr>
        <w:tc>
          <w:tcPr>
            <w:tcW w:w="2250" w:type="dxa"/>
          </w:tcPr>
          <w:p>
            <w:r>
              <w:rPr/>
              <w:t>Marge brute estimée</w:t>
            </w:r>
          </w:p>
        </w:tc>
        <w:tc>
          <w:tcPr>
            <w:tcW w:w="2250" w:type="dxa"/>
          </w:tcPr>
          <w:p>
            <w:r>
              <w:rPr/>
              <w:t>432 000</w:t>
            </w:r>
          </w:p>
        </w:tc>
        <w:tc>
          <w:tcPr>
            <w:tcW w:w="2250" w:type="dxa"/>
          </w:tcPr>
          <w:p>
            <w:r>
              <w:rPr/>
              <w:t>1 020 000</w:t>
            </w:r>
          </w:p>
        </w:tc>
        <w:tc>
          <w:tcPr>
            <w:tcW w:w="2250" w:type="dxa"/>
          </w:tcPr>
          <w:p>
            <w:r>
              <w:rPr/>
              <w:t>1 871 000</w:t>
            </w:r>
          </w:p>
        </w:tc>
      </w:tr>
      <w:tr>
        <w:tc>
          <w:tcPr>
            <w:tcW w:w="2250" w:type="dxa"/>
          </w:tcPr>
          <w:p>
            <w:r>
              <w:rPr/>
              <w:t>Charges fixes &amp; masse salariale</w:t>
            </w:r>
          </w:p>
        </w:tc>
        <w:tc>
          <w:tcPr>
            <w:tcW w:w="2250" w:type="dxa"/>
          </w:tcPr>
          <w:p>
            <w:r>
              <w:rPr/>
              <w:t>252 000</w:t>
            </w:r>
          </w:p>
        </w:tc>
        <w:tc>
          <w:tcPr>
            <w:tcW w:w="2250" w:type="dxa"/>
          </w:tcPr>
          <w:p>
            <w:r>
              <w:rPr/>
              <w:t>480 000</w:t>
            </w:r>
          </w:p>
        </w:tc>
        <w:tc>
          <w:tcPr>
            <w:tcW w:w="2250" w:type="dxa"/>
          </w:tcPr>
          <w:p>
            <w:r>
              <w:rPr/>
              <w:t>740 000</w:t>
            </w:r>
          </w:p>
        </w:tc>
      </w:tr>
      <w:tr>
        <w:tc>
          <w:tcPr>
            <w:tcW w:w="2250" w:type="dxa"/>
          </w:tcPr>
          <w:p>
            <w:r>
              <w:rPr/>
              <w:t>EBITDA estimé</w:t>
            </w:r>
          </w:p>
        </w:tc>
        <w:tc>
          <w:tcPr>
            <w:tcW w:w="2250" w:type="dxa"/>
          </w:tcPr>
          <w:p>
            <w:r>
              <w:rPr/>
              <w:t>180 000</w:t>
            </w:r>
          </w:p>
        </w:tc>
        <w:tc>
          <w:tcPr>
            <w:tcW w:w="2250" w:type="dxa"/>
          </w:tcPr>
          <w:p>
            <w:r>
              <w:rPr/>
              <w:t>540 000</w:t>
            </w:r>
          </w:p>
        </w:tc>
        <w:tc>
          <w:tcPr>
            <w:tcW w:w="2250" w:type="dxa"/>
          </w:tcPr>
          <w:p>
            <w:r>
              <w:rPr/>
              <w:t>1 131 000</w:t>
            </w:r>
          </w:p>
        </w:tc>
      </w:tr>
      <w:tr>
        <w:tc>
          <w:tcPr>
            <w:tcW w:w="2250" w:type="dxa"/>
          </w:tcPr>
          <w:p>
            <w:r>
              <w:rPr/>
              <w:t>Marge EBITDA</w:t>
            </w:r>
          </w:p>
        </w:tc>
        <w:tc>
          <w:tcPr>
            <w:tcW w:w="2250" w:type="dxa"/>
          </w:tcPr>
          <w:p>
            <w:r>
              <w:rPr/>
              <w:t>15%</w:t>
            </w:r>
          </w:p>
        </w:tc>
        <w:tc>
          <w:tcPr>
            <w:tcW w:w="2250" w:type="dxa"/>
          </w:tcPr>
          <w:p>
            <w:r>
              <w:rPr/>
              <w:t>21%</w:t>
            </w:r>
          </w:p>
        </w:tc>
        <w:tc>
          <w:tcPr>
            <w:tcW w:w="2250" w:type="dxa"/>
          </w:tcPr>
          <w:p>
            <w:r>
              <w:rPr/>
              <w:t>26%</w:t>
            </w:r>
          </w:p>
        </w:tc>
      </w:tr>
    </w:tbl>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2250"/>
        <w:gridCol w:w="2250"/>
        <w:gridCol w:w="2250"/>
        <w:gridCol w:w="2250"/>
      </w:tblGrid>
      <w:tr>
        <w:tc>
          <w:tcPr>
            <w:tcW w:w="2250" w:type="dxa"/>
            <w:shd w:fill="EAF3F1"/>
          </w:tcPr>
          <w:p>
            <w:r>
              <w:rPr>
                <w:b/>
              </w:rPr>
              <w:t>Indicateur opérationnel</w:t>
            </w:r>
          </w:p>
        </w:tc>
        <w:tc>
          <w:tcPr>
            <w:tcW w:w="2250" w:type="dxa"/>
            <w:shd w:fill="EAF3F1"/>
          </w:tcPr>
          <w:p>
            <w:r>
              <w:rPr>
                <w:b/>
              </w:rPr>
              <w:t>An 1</w:t>
            </w:r>
          </w:p>
        </w:tc>
        <w:tc>
          <w:tcPr>
            <w:tcW w:w="2250" w:type="dxa"/>
            <w:shd w:fill="EAF3F1"/>
          </w:tcPr>
          <w:p>
            <w:r>
              <w:rPr>
                <w:b/>
              </w:rPr>
              <w:t>An 2</w:t>
            </w:r>
          </w:p>
        </w:tc>
        <w:tc>
          <w:tcPr>
            <w:tcW w:w="2250" w:type="dxa"/>
            <w:shd w:fill="EAF3F1"/>
          </w:tcPr>
          <w:p>
            <w:r>
              <w:rPr>
                <w:b/>
              </w:rPr>
              <w:t>An 3</w:t>
            </w:r>
          </w:p>
        </w:tc>
      </w:tr>
      <w:tr>
        <w:tc>
          <w:tcPr>
            <w:tcW w:w="2250" w:type="dxa"/>
          </w:tcPr>
          <w:p>
            <w:r>
              <w:rPr/>
              <w:t>Clients B2C servis</w:t>
            </w:r>
          </w:p>
        </w:tc>
        <w:tc>
          <w:tcPr>
            <w:tcW w:w="2250" w:type="dxa"/>
          </w:tcPr>
          <w:p>
            <w:r>
              <w:rPr/>
              <w:t>900</w:t>
            </w:r>
          </w:p>
        </w:tc>
        <w:tc>
          <w:tcPr>
            <w:tcW w:w="2250" w:type="dxa"/>
          </w:tcPr>
          <w:p>
            <w:r>
              <w:rPr/>
              <w:t>1 700</w:t>
            </w:r>
          </w:p>
        </w:tc>
        <w:tc>
          <w:tcPr>
            <w:tcW w:w="2250" w:type="dxa"/>
          </w:tcPr>
          <w:p>
            <w:r>
              <w:rPr/>
              <w:t>2 700</w:t>
            </w:r>
          </w:p>
        </w:tc>
      </w:tr>
      <w:tr>
        <w:tc>
          <w:tcPr>
            <w:tcW w:w="2250" w:type="dxa"/>
          </w:tcPr>
          <w:p>
            <w:r>
              <w:rPr/>
              <w:t>Événements B2B</w:t>
            </w:r>
          </w:p>
        </w:tc>
        <w:tc>
          <w:tcPr>
            <w:tcW w:w="2250" w:type="dxa"/>
          </w:tcPr>
          <w:p>
            <w:r>
              <w:rPr/>
              <w:t>12</w:t>
            </w:r>
          </w:p>
        </w:tc>
        <w:tc>
          <w:tcPr>
            <w:tcW w:w="2250" w:type="dxa"/>
          </w:tcPr>
          <w:p>
            <w:r>
              <w:rPr/>
              <w:t>28</w:t>
            </w:r>
          </w:p>
        </w:tc>
        <w:tc>
          <w:tcPr>
            <w:tcW w:w="2250" w:type="dxa"/>
          </w:tcPr>
          <w:p>
            <w:r>
              <w:rPr/>
              <w:t>45</w:t>
            </w:r>
          </w:p>
        </w:tc>
      </w:tr>
      <w:tr>
        <w:tc>
          <w:tcPr>
            <w:tcW w:w="2250" w:type="dxa"/>
          </w:tcPr>
          <w:p>
            <w:r>
              <w:rPr/>
              <w:t>Panier moyen B2C</w:t>
            </w:r>
          </w:p>
        </w:tc>
        <w:tc>
          <w:tcPr>
            <w:tcW w:w="2250" w:type="dxa"/>
          </w:tcPr>
          <w:p>
            <w:r>
              <w:rPr/>
              <w:t>722 MAD</w:t>
            </w:r>
          </w:p>
        </w:tc>
        <w:tc>
          <w:tcPr>
            <w:tcW w:w="2250" w:type="dxa"/>
          </w:tcPr>
          <w:p>
            <w:r>
              <w:rPr/>
              <w:t>735 MAD</w:t>
            </w:r>
          </w:p>
        </w:tc>
        <w:tc>
          <w:tcPr>
            <w:tcW w:w="2250" w:type="dxa"/>
          </w:tcPr>
          <w:p>
            <w:r>
              <w:rPr/>
              <w:t>759 MAD</w:t>
            </w:r>
          </w:p>
        </w:tc>
      </w:tr>
      <w:tr>
        <w:tc>
          <w:tcPr>
            <w:tcW w:w="2250" w:type="dxa"/>
          </w:tcPr>
          <w:p>
            <w:r>
              <w:rPr/>
              <w:t>Note client cible</w:t>
            </w:r>
          </w:p>
        </w:tc>
        <w:tc>
          <w:tcPr>
            <w:tcW w:w="2250" w:type="dxa"/>
          </w:tcPr>
          <w:p>
            <w:r>
              <w:rPr/>
              <w:t>&gt; 4,7/5</w:t>
            </w:r>
          </w:p>
        </w:tc>
        <w:tc>
          <w:tcPr>
            <w:tcW w:w="2250" w:type="dxa"/>
          </w:tcPr>
          <w:p>
            <w:r>
              <w:rPr/>
              <w:t>&gt; 4,7/5</w:t>
            </w:r>
          </w:p>
        </w:tc>
        <w:tc>
          <w:tcPr>
            <w:tcW w:w="2250" w:type="dxa"/>
          </w:tcPr>
          <w:p>
            <w:r>
              <w:rPr/>
              <w:t>&gt; 4,8/5</w:t>
            </w:r>
          </w:p>
        </w:tc>
      </w:tr>
      <w:tr>
        <w:tc>
          <w:tcPr>
            <w:tcW w:w="2250" w:type="dxa"/>
          </w:tcPr>
          <w:p>
            <w:r>
              <w:rPr/>
              <w:t>Part du CA B2B</w:t>
            </w:r>
          </w:p>
        </w:tc>
        <w:tc>
          <w:tcPr>
            <w:tcW w:w="2250" w:type="dxa"/>
          </w:tcPr>
          <w:p>
            <w:r>
              <w:rPr/>
              <w:t>32%</w:t>
            </w:r>
          </w:p>
        </w:tc>
        <w:tc>
          <w:tcPr>
            <w:tcW w:w="2250" w:type="dxa"/>
          </w:tcPr>
          <w:p>
            <w:r>
              <w:rPr/>
              <w:t>37%</w:t>
            </w:r>
          </w:p>
        </w:tc>
        <w:tc>
          <w:tcPr>
            <w:tcW w:w="2250" w:type="dxa"/>
          </w:tcPr>
          <w:p>
            <w:r>
              <w:rPr/>
              <w:t>37%</w:t>
            </w:r>
          </w:p>
        </w:tc>
      </w:tr>
    </w:tbl>
    <w:p>
      <w:r>
        <w:rPr/>
        <w:t>Point mort indicatif : avec une marge brute moyenne de 38% et des charges fixes mensuelles de 30 000 à 40 000 MAD au démarrage, le seuil de rentabilité opérationnel se situe autour de 80 000 à 105 000 MAD de chiffre d'affaires mensuel. Ce seuil devient plus confortable lorsque les contrats B2B récurrents entrent dans le mix.</w:t>
      </w:r>
    </w:p>
    <w:p>
      <w:pPr>
        <w:pStyle w:val="Heading1"/>
      </w:pPr>
      <w:r>
        <w:rPr/>
        <w:t>10. Risques Et Mitigation</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3000"/>
        <w:gridCol w:w="3000"/>
        <w:gridCol w:w="3000"/>
      </w:tblGrid>
      <w:tr>
        <w:tc>
          <w:tcPr>
            <w:tcW w:w="3000" w:type="dxa"/>
            <w:shd w:fill="EAF3F1"/>
          </w:tcPr>
          <w:p>
            <w:r>
              <w:rPr>
                <w:b/>
              </w:rPr>
              <w:t>Risque</w:t>
            </w:r>
          </w:p>
        </w:tc>
        <w:tc>
          <w:tcPr>
            <w:tcW w:w="3000" w:type="dxa"/>
            <w:shd w:fill="EAF3F1"/>
          </w:tcPr>
          <w:p>
            <w:r>
              <w:rPr>
                <w:b/>
              </w:rPr>
              <w:t>Impact</w:t>
            </w:r>
          </w:p>
        </w:tc>
        <w:tc>
          <w:tcPr>
            <w:tcW w:w="3000" w:type="dxa"/>
            <w:shd w:fill="EAF3F1"/>
          </w:tcPr>
          <w:p>
            <w:r>
              <w:rPr>
                <w:b/>
              </w:rPr>
              <w:t>Mitigation</w:t>
            </w:r>
          </w:p>
        </w:tc>
      </w:tr>
      <w:tr>
        <w:tc>
          <w:tcPr>
            <w:tcW w:w="3000" w:type="dxa"/>
          </w:tcPr>
          <w:p>
            <w:r>
              <w:rPr/>
              <w:t>Saisonnalité</w:t>
            </w:r>
          </w:p>
        </w:tc>
        <w:tc>
          <w:tcPr>
            <w:tcW w:w="3000" w:type="dxa"/>
          </w:tcPr>
          <w:p>
            <w:r>
              <w:rPr/>
              <w:t>Creux de trésorerie</w:t>
            </w:r>
          </w:p>
        </w:tc>
        <w:tc>
          <w:tcPr>
            <w:tcW w:w="3000" w:type="dxa"/>
          </w:tcPr>
          <w:p>
            <w:r>
              <w:rPr/>
              <w:t>B2B, offres basse saison, calendrier annuel, réserve cash</w:t>
            </w:r>
          </w:p>
        </w:tc>
      </w:tr>
      <w:tr>
        <w:tc>
          <w:tcPr>
            <w:tcW w:w="3000" w:type="dxa"/>
          </w:tcPr>
          <w:p>
            <w:r>
              <w:rPr/>
              <w:t>Sécurité terrain</w:t>
            </w:r>
          </w:p>
        </w:tc>
        <w:tc>
          <w:tcPr>
            <w:tcW w:w="3000" w:type="dxa"/>
          </w:tcPr>
          <w:p>
            <w:r>
              <w:rPr/>
              <w:t>Risque humain et réputationnel</w:t>
            </w:r>
          </w:p>
        </w:tc>
        <w:tc>
          <w:tcPr>
            <w:tcW w:w="3000" w:type="dxa"/>
          </w:tcPr>
          <w:p>
            <w:r>
              <w:rPr/>
              <w:t>Protocoles, guides qualifiés, assurance, itinéraires validés</w:t>
            </w:r>
          </w:p>
        </w:tc>
      </w:tr>
      <w:tr>
        <w:tc>
          <w:tcPr>
            <w:tcW w:w="3000" w:type="dxa"/>
          </w:tcPr>
          <w:p>
            <w:r>
              <w:rPr/>
              <w:t>Dépendance fournisseurs</w:t>
            </w:r>
          </w:p>
        </w:tc>
        <w:tc>
          <w:tcPr>
            <w:tcW w:w="3000" w:type="dxa"/>
          </w:tcPr>
          <w:p>
            <w:r>
              <w:rPr/>
              <w:t>Qualité irrégulière</w:t>
            </w:r>
          </w:p>
        </w:tc>
        <w:tc>
          <w:tcPr>
            <w:tcW w:w="3000" w:type="dxa"/>
          </w:tcPr>
          <w:p>
            <w:r>
              <w:rPr/>
              <w:t>Contrats cadres, fournisseurs alternatifs, notation interne</w:t>
            </w:r>
          </w:p>
        </w:tc>
      </w:tr>
      <w:tr>
        <w:tc>
          <w:tcPr>
            <w:tcW w:w="3000" w:type="dxa"/>
          </w:tcPr>
          <w:p>
            <w:r>
              <w:rPr/>
              <w:t>Acquisition digitale coûteuse</w:t>
            </w:r>
          </w:p>
        </w:tc>
        <w:tc>
          <w:tcPr>
            <w:tcW w:w="3000" w:type="dxa"/>
          </w:tcPr>
          <w:p>
            <w:r>
              <w:rPr/>
              <w:t>CAC élevé</w:t>
            </w:r>
          </w:p>
        </w:tc>
        <w:tc>
          <w:tcPr>
            <w:tcW w:w="3000" w:type="dxa"/>
          </w:tcPr>
          <w:p>
            <w:r>
              <w:rPr/>
              <w:t>Contenu organique, partenariats, parrainage, communauté</w:t>
            </w:r>
          </w:p>
        </w:tc>
      </w:tr>
      <w:tr>
        <w:tc>
          <w:tcPr>
            <w:tcW w:w="3000" w:type="dxa"/>
          </w:tcPr>
          <w:p>
            <w:r>
              <w:rPr/>
              <w:t>Concurrence plateformes</w:t>
            </w:r>
          </w:p>
        </w:tc>
        <w:tc>
          <w:tcPr>
            <w:tcW w:w="3000" w:type="dxa"/>
          </w:tcPr>
          <w:p>
            <w:r>
              <w:rPr/>
              <w:t>Pression prix</w:t>
            </w:r>
          </w:p>
        </w:tc>
        <w:tc>
          <w:tcPr>
            <w:tcW w:w="3000" w:type="dxa"/>
          </w:tcPr>
          <w:p>
            <w:r>
              <w:rPr/>
              <w:t>Différenciation locale, expérience de marque, vente directe</w:t>
            </w:r>
          </w:p>
        </w:tc>
      </w:tr>
      <w:tr>
        <w:tc>
          <w:tcPr>
            <w:tcW w:w="3000" w:type="dxa"/>
          </w:tcPr>
          <w:p>
            <w:r>
              <w:rPr/>
              <w:t>Réglementaire</w:t>
            </w:r>
          </w:p>
        </w:tc>
        <w:tc>
          <w:tcPr>
            <w:tcW w:w="3000" w:type="dxa"/>
          </w:tcPr>
          <w:p>
            <w:r>
              <w:rPr/>
              <w:t>Retard de licence ou conformité</w:t>
            </w:r>
          </w:p>
        </w:tc>
        <w:tc>
          <w:tcPr>
            <w:tcW w:w="3000" w:type="dxa"/>
          </w:tcPr>
          <w:p>
            <w:r>
              <w:rPr/>
              <w:t>Accompagnement juridique et administratif dès le départ</w:t>
            </w:r>
          </w:p>
        </w:tc>
      </w:tr>
      <w:tr>
        <w:tc>
          <w:tcPr>
            <w:tcW w:w="3000" w:type="dxa"/>
          </w:tcPr>
          <w:p>
            <w:r>
              <w:rPr/>
              <w:t>Exécution équipe</w:t>
            </w:r>
          </w:p>
        </w:tc>
        <w:tc>
          <w:tcPr>
            <w:tcW w:w="3000" w:type="dxa"/>
          </w:tcPr>
          <w:p>
            <w:r>
              <w:rPr/>
              <w:t>Retard commercial</w:t>
            </w:r>
          </w:p>
        </w:tc>
        <w:tc>
          <w:tcPr>
            <w:tcW w:w="3000" w:type="dxa"/>
          </w:tcPr>
          <w:p>
            <w:r>
              <w:rPr/>
              <w:t>Jalons mensuels, reporting investisseur, recrutement ciblé</w:t>
            </w:r>
          </w:p>
        </w:tc>
      </w:tr>
    </w:tbl>
    <w:p>
      <w:pPr>
        <w:pStyle w:val="Heading1"/>
      </w:pPr>
      <w:r>
        <w:rPr/>
        <w:t>11. Impact</w:t>
      </w:r>
    </w:p>
    <w:p>
      <w:r>
        <w:rPr/>
        <w:t>Roamers Community doit transformer l'impact en avantage compétitif mesurable. L'impact ne doit pas rester une promesse marketing ; il doit être piloté par des indicateurs simples et vérifiables.</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4500"/>
        <w:gridCol w:w="4500"/>
      </w:tblGrid>
      <w:tr>
        <w:tc>
          <w:tcPr>
            <w:tcW w:w="4500" w:type="dxa"/>
            <w:shd w:fill="EAF3F1"/>
          </w:tcPr>
          <w:p>
            <w:r>
              <w:rPr>
                <w:b/>
              </w:rPr>
              <w:t>Axe</w:t>
            </w:r>
          </w:p>
        </w:tc>
        <w:tc>
          <w:tcPr>
            <w:tcW w:w="4500" w:type="dxa"/>
            <w:shd w:fill="EAF3F1"/>
          </w:tcPr>
          <w:p>
            <w:r>
              <w:rPr>
                <w:b/>
              </w:rPr>
              <w:t>KPI proposé</w:t>
            </w:r>
          </w:p>
        </w:tc>
      </w:tr>
      <w:tr>
        <w:tc>
          <w:tcPr>
            <w:tcW w:w="4500" w:type="dxa"/>
          </w:tcPr>
          <w:p>
            <w:r>
              <w:rPr/>
              <w:t>Emploi local</w:t>
            </w:r>
          </w:p>
        </w:tc>
        <w:tc>
          <w:tcPr>
            <w:tcW w:w="4500" w:type="dxa"/>
          </w:tcPr>
          <w:p>
            <w:r>
              <w:rPr/>
              <w:t>Nombre de guides, hébergeurs, transporteurs et coopératives rémunérés</w:t>
            </w:r>
          </w:p>
        </w:tc>
      </w:tr>
      <w:tr>
        <w:tc>
          <w:tcPr>
            <w:tcW w:w="4500" w:type="dxa"/>
          </w:tcPr>
          <w:p>
            <w:r>
              <w:rPr/>
              <w:t>Retombées territoriales</w:t>
            </w:r>
          </w:p>
        </w:tc>
        <w:tc>
          <w:tcPr>
            <w:tcW w:w="4500" w:type="dxa"/>
          </w:tcPr>
          <w:p>
            <w:r>
              <w:rPr/>
              <w:t>Montant dépensé auprès de fournisseurs locaux par région</w:t>
            </w:r>
          </w:p>
        </w:tc>
      </w:tr>
      <w:tr>
        <w:tc>
          <w:tcPr>
            <w:tcW w:w="4500" w:type="dxa"/>
          </w:tcPr>
          <w:p>
            <w:r>
              <w:rPr/>
              <w:t>Environnement</w:t>
            </w:r>
          </w:p>
        </w:tc>
        <w:tc>
          <w:tcPr>
            <w:tcW w:w="4500" w:type="dxa"/>
          </w:tcPr>
          <w:p>
            <w:r>
              <w:rPr/>
              <w:t>Nombre de sorties avec charte zéro déchet, incidents environnementaux, actions sensibilisation</w:t>
            </w:r>
          </w:p>
        </w:tc>
      </w:tr>
      <w:tr>
        <w:tc>
          <w:tcPr>
            <w:tcW w:w="4500" w:type="dxa"/>
          </w:tcPr>
          <w:p>
            <w:r>
              <w:rPr/>
              <w:t>Culture</w:t>
            </w:r>
          </w:p>
        </w:tc>
        <w:tc>
          <w:tcPr>
            <w:tcW w:w="4500" w:type="dxa"/>
          </w:tcPr>
          <w:p>
            <w:r>
              <w:rPr/>
              <w:t>Nombre d'expériences incluant artisanat, gastronomie, musique, patrimoine oral</w:t>
            </w:r>
          </w:p>
        </w:tc>
      </w:tr>
      <w:tr>
        <w:tc>
          <w:tcPr>
            <w:tcW w:w="4500" w:type="dxa"/>
          </w:tcPr>
          <w:p>
            <w:r>
              <w:rPr/>
              <w:t>Formation</w:t>
            </w:r>
          </w:p>
        </w:tc>
        <w:tc>
          <w:tcPr>
            <w:tcW w:w="4500" w:type="dxa"/>
          </w:tcPr>
          <w:p>
            <w:r>
              <w:rPr/>
              <w:t>Nombre d'acteurs locaux formés aux standards qualité et accueil</w:t>
            </w:r>
          </w:p>
        </w:tc>
      </w:tr>
    </w:tbl>
    <w:p>
      <w:pPr>
        <w:pStyle w:val="Heading1"/>
      </w:pPr>
      <w:r>
        <w:rPr/>
        <w:t>12. Jalons Investisseur</w:t>
      </w:r>
    </w:p>
    <w:tbl>
      <w:tblPr>
        <w:tblBorders>
          <w:top w:val="single" w:sz="4" w:space="0" w:color="C7D7D2"/>
          <w:left w:val="single" w:sz="4" w:space="0" w:color="C7D7D2"/>
          <w:bottom w:val="single" w:sz="4" w:space="0" w:color="C7D7D2"/>
          <w:right w:val="single" w:sz="4" w:space="0" w:color="C7D7D2"/>
          <w:insideH w:val="single" w:sz="4" w:space="0" w:color="C7D7D2"/>
          <w:insideV w:val="single" w:sz="4" w:space="0" w:color="C7D7D2"/>
        </w:tblBorders>
      </w:tblPr>
      <w:tblGrid>
        <w:gridCol w:w="3000"/>
        <w:gridCol w:w="3000"/>
        <w:gridCol w:w="3000"/>
      </w:tblGrid>
      <w:tr>
        <w:tc>
          <w:tcPr>
            <w:tcW w:w="3000" w:type="dxa"/>
            <w:shd w:fill="EAF3F1"/>
          </w:tcPr>
          <w:p>
            <w:r>
              <w:rPr>
                <w:b/>
              </w:rPr>
              <w:t>Jalon</w:t>
            </w:r>
          </w:p>
        </w:tc>
        <w:tc>
          <w:tcPr>
            <w:tcW w:w="3000" w:type="dxa"/>
            <w:shd w:fill="EAF3F1"/>
          </w:tcPr>
          <w:p>
            <w:r>
              <w:rPr>
                <w:b/>
              </w:rPr>
              <w:t>Date cible</w:t>
            </w:r>
          </w:p>
        </w:tc>
        <w:tc>
          <w:tcPr>
            <w:tcW w:w="3000" w:type="dxa"/>
            <w:shd w:fill="EAF3F1"/>
          </w:tcPr>
          <w:p>
            <w:r>
              <w:rPr>
                <w:b/>
              </w:rPr>
              <w:t>Critère de réussite</w:t>
            </w:r>
          </w:p>
        </w:tc>
      </w:tr>
      <w:tr>
        <w:tc>
          <w:tcPr>
            <w:tcW w:w="3000" w:type="dxa"/>
          </w:tcPr>
          <w:p>
            <w:r>
              <w:rPr/>
              <w:t>Constitution juridique et conformité</w:t>
            </w:r>
          </w:p>
        </w:tc>
        <w:tc>
          <w:tcPr>
            <w:tcW w:w="3000" w:type="dxa"/>
          </w:tcPr>
          <w:p>
            <w:r>
              <w:rPr/>
              <w:t>Mois 1</w:t>
            </w:r>
          </w:p>
        </w:tc>
        <w:tc>
          <w:tcPr>
            <w:tcW w:w="3000" w:type="dxa"/>
          </w:tcPr>
          <w:p>
            <w:r>
              <w:rPr/>
              <w:t>SARL créée, assurance et cadre licence clarifiés</w:t>
            </w:r>
          </w:p>
        </w:tc>
      </w:tr>
      <w:tr>
        <w:tc>
          <w:tcPr>
            <w:tcW w:w="3000" w:type="dxa"/>
          </w:tcPr>
          <w:p>
            <w:r>
              <w:rPr/>
              <w:t>Lancement commercial</w:t>
            </w:r>
          </w:p>
        </w:tc>
        <w:tc>
          <w:tcPr>
            <w:tcW w:w="3000" w:type="dxa"/>
          </w:tcPr>
          <w:p>
            <w:r>
              <w:rPr/>
              <w:t>Mois 3</w:t>
            </w:r>
          </w:p>
        </w:tc>
        <w:tc>
          <w:tcPr>
            <w:tcW w:w="3000" w:type="dxa"/>
          </w:tcPr>
          <w:p>
            <w:r>
              <w:rPr/>
              <w:t>Site en ligne, 3 offres packagées, premiers partenaires signés</w:t>
            </w:r>
          </w:p>
        </w:tc>
      </w:tr>
      <w:tr>
        <w:tc>
          <w:tcPr>
            <w:tcW w:w="3000" w:type="dxa"/>
          </w:tcPr>
          <w:p>
            <w:r>
              <w:rPr/>
              <w:t>Preuve B2C</w:t>
            </w:r>
          </w:p>
        </w:tc>
        <w:tc>
          <w:tcPr>
            <w:tcW w:w="3000" w:type="dxa"/>
          </w:tcPr>
          <w:p>
            <w:r>
              <w:rPr/>
              <w:t>Mois 6</w:t>
            </w:r>
          </w:p>
        </w:tc>
        <w:tc>
          <w:tcPr>
            <w:tcW w:w="3000" w:type="dxa"/>
          </w:tcPr>
          <w:p>
            <w:r>
              <w:rPr/>
              <w:t>200 clients cumulés, note moyenne &gt; 4,7/5</w:t>
            </w:r>
          </w:p>
        </w:tc>
      </w:tr>
      <w:tr>
        <w:tc>
          <w:tcPr>
            <w:tcW w:w="3000" w:type="dxa"/>
          </w:tcPr>
          <w:p>
            <w:r>
              <w:rPr/>
              <w:t>Preuve B2B</w:t>
            </w:r>
          </w:p>
        </w:tc>
        <w:tc>
          <w:tcPr>
            <w:tcW w:w="3000" w:type="dxa"/>
          </w:tcPr>
          <w:p>
            <w:r>
              <w:rPr/>
              <w:t>Mois 9</w:t>
            </w:r>
          </w:p>
        </w:tc>
        <w:tc>
          <w:tcPr>
            <w:tcW w:w="3000" w:type="dxa"/>
          </w:tcPr>
          <w:p>
            <w:r>
              <w:rPr/>
              <w:t>5 contrats entreprises signés</w:t>
            </w:r>
          </w:p>
        </w:tc>
      </w:tr>
      <w:tr>
        <w:tc>
          <w:tcPr>
            <w:tcW w:w="3000" w:type="dxa"/>
          </w:tcPr>
          <w:p>
            <w:r>
              <w:rPr/>
              <w:t>Rentabilité mensuelle</w:t>
            </w:r>
          </w:p>
        </w:tc>
        <w:tc>
          <w:tcPr>
            <w:tcW w:w="3000" w:type="dxa"/>
          </w:tcPr>
          <w:p>
            <w:r>
              <w:rPr/>
              <w:t>Mois 12-15</w:t>
            </w:r>
          </w:p>
        </w:tc>
        <w:tc>
          <w:tcPr>
            <w:tcW w:w="3000" w:type="dxa"/>
          </w:tcPr>
          <w:p>
            <w:r>
              <w:rPr/>
              <w:t>CA mensuel récurrent couvrant charges fixes</w:t>
            </w:r>
          </w:p>
        </w:tc>
      </w:tr>
      <w:tr>
        <w:tc>
          <w:tcPr>
            <w:tcW w:w="3000" w:type="dxa"/>
          </w:tcPr>
          <w:p>
            <w:r>
              <w:rPr/>
              <w:t>Tour suivant ou expansion</w:t>
            </w:r>
          </w:p>
        </w:tc>
        <w:tc>
          <w:tcPr>
            <w:tcW w:w="3000" w:type="dxa"/>
          </w:tcPr>
          <w:p>
            <w:r>
              <w:rPr/>
              <w:t>Mois 18-24</w:t>
            </w:r>
          </w:p>
        </w:tc>
        <w:tc>
          <w:tcPr>
            <w:tcW w:w="3000" w:type="dxa"/>
          </w:tcPr>
          <w:p>
            <w:r>
              <w:rPr/>
              <w:t>Traction suffisante pour dette bancaire, subvention ou second investisseur</w:t>
            </w:r>
          </w:p>
        </w:tc>
      </w:tr>
    </w:tbl>
    <w:p>
      <w:pPr>
        <w:pStyle w:val="Heading2"/>
      </w:pPr>
      <w:r>
        <w:rPr/>
        <w:t>Scénarios de sortie possibles</w:t>
      </w:r>
    </w:p>
    <w:p>
      <w:r>
        <w:rPr/>
        <w:t>- Rachat partiel des parts par les fondateurs à partir de l'an 4 selon multiple d'EBITDA ou formule prédéfinie.</w:t>
      </w:r>
    </w:p>
    <w:p>
      <w:r>
        <w:rPr/>
        <w:t>- Cession à un acteur touristique, agence régionale, plateforme d'expériences ou opérateur événementiel.</w:t>
      </w:r>
    </w:p>
    <w:p>
      <w:r>
        <w:rPr/>
        <w:t>- Dividendes progressifs après stabilisation de la trésorerie et financement de la croissance.</w:t>
      </w:r>
    </w:p>
    <w:p>
      <w:pPr>
        <w:pStyle w:val="Heading1"/>
      </w:pPr>
      <w:r>
        <w:rPr/>
        <w:t>13. Sources De Marché</w:t>
      </w:r>
    </w:p>
    <w:p>
      <w:r>
        <w:rPr/>
        <w:t>- Ministère du Tourisme du Maroc - Feuille de route : 17,5 millions de touristes, 200 000 emplois, 120 MMDH de recettes à horizon 2026.</w:t>
      </w:r>
    </w:p>
    <w:p>
      <w:r>
        <w:rPr/>
        <w:t>- Observatoire du Tourisme - Vision de 26 millions de touristes d'ici 2030 et structuration de l'offre autour des filières Nature, Trekking and Hiking, Désert &amp; Oasis Adventure, Circuits culturels, Tourisme d'affaires et Développement durable.</w:t>
      </w:r>
    </w:p>
    <w:p>
      <w:r>
        <w:rPr/>
        <w:t>- Maroc.ma / MAP - Annonce du record de 17,4 millions de visiteurs au Maroc en 2024, en hausse de 20% par rapport à 2023.</w:t>
      </w:r>
    </w:p>
    <w:p>
      <w:r>
        <w:rPr/>
        <w:t>- Office des Changes, relayé par la presse économique - Recettes voyages 2024 autour de 112,5 MMDH.</w:t>
      </w:r>
    </w:p>
    <w:p>
      <w:pPr>
        <w:pStyle w:val="Heading1"/>
      </w:pPr>
      <w:r>
        <w:rPr/>
        <w:t>14. Informations À Compléter Avant Envoi</w:t>
      </w:r>
    </w:p>
    <w:p>
      <w:r>
        <w:rPr/>
        <w:t>- Nom, CV court, coordonnées et photo professionnelle du fondateur.</w:t>
      </w:r>
    </w:p>
    <w:p>
      <w:r>
        <w:rPr/>
        <w:t>- Répartition du capital prévue entre fondateurs et investisseur.</w:t>
      </w:r>
    </w:p>
    <w:p>
      <w:r>
        <w:rPr/>
        <w:t>- Statut exact de la licence d'agence de voyages et obligations réglementaires applicables.</w:t>
      </w:r>
    </w:p>
    <w:p>
      <w:r>
        <w:rPr/>
        <w:t>- Devis réels pour site web, assurance, équipements, transport, contenus et marketing.</w:t>
      </w:r>
    </w:p>
    <w:p>
      <w:r>
        <w:rPr/>
        <w:t>- Lettres d'intention ou preuves de discussion avec entreprises, guides, hébergements et partenaires.</w:t>
      </w:r>
    </w:p>
    <w:p>
      <w:r>
        <w:rPr/>
        <w:t>- Annexe financière Excel détaillée : trésorerie mensuelle, TVA, IS, masse salariale, scénarios prudent/base/ambitieux.</w:t>
      </w:r>
    </w:p>
    <w:p>
      <w:pPr>
        <w:pStyle w:val="Heading1"/>
      </w:pPr>
      <w:r>
        <w:rPr/>
        <w:t>Conclusion</w:t>
      </w:r>
    </w:p>
    <w:p>
      <w:r>
        <w:rPr/>
        <w:t>Roamers Community est une opportunité d'investissement dans une marque de tourisme expérientiel pensée pour un Maroc en croissance touristique, mais encore en demande d'expériences plus locales, plus humaines et mieux structurées. Le financement recherché doit permettre de passer d'un concept prometteur à une entreprise mesurable : offres vendues, clients satisfaits, partenaires sécurisés, revenus B2B et impact local démontré.</w:t>
      </w:r>
    </w:p>
    <w:p>
      <w:r>
        <w:rPr>
          <w:b/>
        </w:rPr>
        <w:t>ROAMERS COMMUNITY - Explore. Connect. Belong.</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qFormat/>
    <w:pPr>
      <w:spacing w:after="240"/>
    </w:pPr>
    <w:rPr>
      <w:b/>
      <w:color w:val="173F35"/>
      <w:sz w:val="44"/>
    </w:rPr>
  </w:style>
  <w:style w:type="paragraph" w:styleId="Subtitle">
    <w:name w:val="Subtitle"/>
    <w:basedOn w:val="Normal"/>
    <w:qFormat/>
    <w:rPr>
      <w:color w:val="5B6F68"/>
      <w:sz w:val="28"/>
    </w:rPr>
  </w:style>
  <w:style w:type="paragraph" w:styleId="Heading1">
    <w:name w:val="heading 1"/>
    <w:basedOn w:val="Normal"/>
    <w:next w:val="Normal"/>
    <w:qFormat/>
    <w:pPr>
      <w:spacing w:before="360" w:after="160"/>
      <w:outlineLvl w:val="0"/>
    </w:pPr>
    <w:rPr>
      <w:b/>
      <w:color w:val="173F35"/>
      <w:sz w:val="30"/>
    </w:rPr>
  </w:style>
  <w:style w:type="paragraph" w:styleId="Heading2">
    <w:name w:val="heading 2"/>
    <w:basedOn w:val="Normal"/>
    <w:next w:val="Normal"/>
    <w:qFormat/>
    <w:pPr>
      <w:spacing w:before="220" w:after="120"/>
      <w:outlineLvl w:val="1"/>
    </w:pPr>
    <w:rPr>
      <w:b/>
      <w:color w:val="2F5F52"/>
      <w:sz w:val="25"/>
    </w:rPr>
  </w:style>
  <w:style w:type="paragraph" w:styleId="IntenseQuote">
    <w:name w:val="Intense Quote"/>
    <w:basedOn w:val="Normal"/>
    <w:qFormat/>
    <w:pPr>
      <w:ind w:left="360"/>
      <w:pBdr>
        <w:left w:val="single" w:sz="12" w:space="8" w:color="3A7D6A"/>
      </w:pBdr>
    </w:pPr>
    <w:rPr>
      <w:i/>
      <w:color w:val="3E4D4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