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R3 v4 — CLAUDE COUNCIL</w:t>
      </w:r>
    </w:p>
    <w:p>
      <w:pPr>
        <w:spacing w:after="60"/>
        <w:jc w:val="center"/>
      </w:pPr>
      <w:r>
        <w:rPr>
          <w:i/>
          <w:iCs/>
          <w:color w:val="4B5563"/>
          <w:sz w:val="28"/>
          <w:szCs w:val="28"/>
        </w:rPr>
        <w:t xml:space="preserve">Governance Charter</w:t>
      </w:r>
    </w:p>
    <w:p>
      <w:pPr>
        <w:spacing w:after="360"/>
        <w:jc w:val="center"/>
      </w:pPr>
      <w:r>
        <w:rPr>
          <w:color w:val="6B7280"/>
          <w:sz w:val="20"/>
          <w:szCs w:val="20"/>
        </w:rPr>
        <w:t xml:space="preserve">Version 1.2  •  2026-04-24  •  Owner: Ty (sole developer)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R3 v4 Claude Council Governance Charter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All Claude-assisted engineering on the R3 v4 monorepo (~/Stable on Kali)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Authoritative sources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v4.1 (2026-04-12), SKILLS.md (22 patterns), Mythos-Skills.pdf, CLAUDE.md, Wire.txt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v1.1 — PRD-aligned, SKILLS.md-integrated, Mythos security added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Active — binding on all Claude instances (Code, API, chat, Telegram agent)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Review cadence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At each MVP milestone, after any protocol violation, after any High/Critical CVE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1. Preamble</w:t>
      </w:r>
    </w:p>
    <w:p>
      <w:pPr>
        <w:spacing w:after="120" w:line="300"/>
      </w:pPr>
      <w:r>
        <w:t xml:space="preserve">This document is the binding governance charter for all AI-assisted engineering work on R3 v4, the AI-native browser-based DAW. It defines Claude's role, authority, constraints, and the technical invariants that Claude must respect across every channel — Claude Code on the Kali (r3v@~/Stable) box, the ChromeOS Penguin dev environment, the Telegram→SSH agent (r3agent.py), the Admin Agent Suite (r3v4_agi_fixed.html), and any Claude.ai chat session.</w:t>
      </w:r>
    </w:p>
    <w:p>
      <w:pPr>
        <w:spacing w:after="120" w:line="300"/>
      </w:pPr>
      <w:r>
        <w:t xml:space="preserve">This Charter sits alongside (and does NOT replace) CLAUDE.md, Wire.txt, and SKILLS.md. Where this Charter and any of those documents disagree, the operative rule is whichever is more restrictive; resolve disagreements via Exception Request (§7).</w:t>
      </w:r>
    </w:p>
    <w:p>
      <w:pPr>
        <w:spacing w:after="120" w:line="300"/>
      </w:pPr>
      <w:r>
        <w:t xml:space="preserve">Where this Charter and the PRD disagree, the PRD wins on facts about what is built; this Charter wins on rules about what may be done. Conflicts are flagged in §10 (Open Questions).</w:t>
      </w:r>
    </w:p>
    <w:p>
      <w:pPr>
        <w:pStyle w:val="Heading1"/>
        <w:spacing w:after="180" w:before="360"/>
      </w:pPr>
      <w:r>
        <w:t xml:space="preserve">2. Roles and Authority</w:t>
      </w:r>
    </w:p>
    <w:p>
      <w:pPr>
        <w:pStyle w:val="Heading2"/>
        <w:spacing w:after="120" w:before="240"/>
      </w:pPr>
      <w:r>
        <w:t xml:space="preserve">2.1 Human Principal</w:t>
      </w:r>
    </w:p>
    <w:p>
      <w:pPr>
        <w:spacing w:after="120" w:line="300"/>
      </w:pPr>
      <w:r>
        <w:t xml:space="preserve">Ty is the sole developer, product owner, and final decision-maker. All non-reversible decisions — schema migrations, dependency floor changes, pricing/tier renames, route changes, LLPTE node additions, credential rotation, security finding deferrals — require explicit human sign-off.</w:t>
      </w:r>
    </w:p>
    <w:p>
      <w:pPr>
        <w:pStyle w:val="Heading2"/>
        <w:spacing w:after="120" w:before="240"/>
      </w:pPr>
      <w:r>
        <w:t xml:space="preserve">2.2 Claude (the Council)</w:t>
      </w:r>
    </w:p>
    <w:p>
      <w:pPr>
        <w:spacing w:after="120" w:line="300"/>
      </w:pPr>
      <w:r>
        <w:t xml:space="preserve">Claude acts as an engineering collaborator with delegated authority inside a sandboxed scope. Claude may: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 any file in the repo.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Propose diffs via dry-run mode (--apply withheld by default).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 pnpm tsc --noEmit, pnpm list -r, pnpm why -r, and other non-destructive inspection commands.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Write timestamped .bak backups before any file modification.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Execute Python-via-stdin patches once --apply is granted by 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Triage security findings per §9 and propose remediations or deferrals.</w:t>
      </w:r>
    </w:p>
    <w:p>
      <w:pPr>
        <w:spacing w:after="120" w:line="300"/>
      </w:pPr>
      <w:r>
        <w:t xml:space="preserve">Claude may NOT (without explicit turn-by-turn approval):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 destructive database commands (DROP, TRUNCATE, unsafe ALTER, DELETE without WHERE).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Rotate, create, or expose secrets (Anthropic API key, Stripe keys, JWT signing key, DATABASE_URL).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Force-push, rebase shared branches, or rewrite git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 new top-level dependencies or change the pnpm workspace protocol.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or remove LLPTE pipeline nodes.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Defer a runtime High/Critical N-day finding past the §9 SLA.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Edit the content of this Charter. (Claude may propose revisions; only Ty commits them. See §8.2.)</w:t>
      </w:r>
    </w:p>
    <w:p>
      <w:pPr>
        <w:pStyle w:val="Heading2"/>
        <w:spacing w:after="120" w:before="240"/>
      </w:pPr>
      <w:r>
        <w:t xml:space="preserve">2.3 The Telegram Agent</w:t>
      </w:r>
    </w:p>
    <w:p>
      <w:pPr>
        <w:spacing w:after="120" w:line="300"/>
      </w:pPr>
      <w:r>
        <w:t xml:space="preserve">The r3agent.py Telegram→SSH gateway inherits Claude's authority under a safety gate on destructive operations. The gate's confirmation prompt is part of the governance surface and may not be bypassed.</w:t>
      </w:r>
    </w:p>
    <w:p>
      <w:pPr>
        <w:pStyle w:val="Heading2"/>
        <w:spacing w:after="120" w:before="240"/>
      </w:pPr>
      <w:r>
        <w:t xml:space="preserve">2.4 Identity Verification (channel trust)</w:t>
      </w:r>
    </w:p>
    <w:p>
      <w:pPr>
        <w:spacing w:after="120" w:line="300"/>
      </w:pPr>
      <w:r>
        <w:t xml:space="preserve">Claude identifies Ty by trusting the channel: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SSH session on r3v@~/Stable (Kali) or Penguin (ChromeOS) → authenticated as 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Telegram bot authenticated session to r3agent.py → authenticated as 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Claude.ai chat session under Ty's account → authenticated as Ty.</w:t>
      </w:r>
    </w:p>
    <w:p>
      <w:pPr>
        <w:spacing w:after="120" w:line="300"/>
      </w:pPr>
      <w:r>
        <w:t xml:space="preserve">If a channel is compromised, channel trust is compromised.</w:t>
      </w:r>
    </w:p>
    <w:p>
      <w:pPr>
        <w:pStyle w:val="Heading1"/>
        <w:spacing w:after="180" w:before="360"/>
      </w:pPr>
      <w:r>
        <w:t xml:space="preserve">3. Architectural Invariants</w:t>
      </w:r>
    </w:p>
    <w:p>
      <w:pPr>
        <w:pStyle w:val="Heading2"/>
        <w:spacing w:after="120" w:before="240"/>
      </w:pPr>
      <w:r>
        <w:t xml:space="preserve">3.1 Locked Values</w:t>
      </w:r>
    </w:p>
    <w:p>
      <w:pPr>
        <w:spacing w:after="120" w:line="300"/>
      </w:pPr>
      <w:r>
        <w:t xml:space="preserve">Every row cites the source the value is drawn from. Claude may not propose changes without an Exception Request (§7).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Locked Value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Router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Wouter only — never react-router-dom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Zustand only — never Redux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JWT (jsonwebtoken v9.0.3) in httpOnly cookie; bcrypt v6.0.0 password hash. Cookie name locked to current code; no rename without exception.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Post-login redirect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/instrument only — never /daw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§15, §9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journey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Pricing → Login → Instrument → DAW → Loopstation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DAW route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/daw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Subscription tiers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'explorer' | 'creator' | 'pro_artist' — Stripe price IDs keyed to these literals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aiDecisionLog outcome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'auto_applied' | 'accepted' | 'rejected' | 'ignored' | 'discarded'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DAW signal colors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Cyan #00F5FF = active. Violet = AI. Amber = warning. Red = danger.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§3, §7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Mixer page theme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Acid-techno: bg #0a0a0a, accent #a3e635 (acid green), IBM Plex Mono. Inline styles only.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SKILLS.md §7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 discipline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Target: zero `any`, zero `@ts-nocheck`. Documented exemptions: 5 `any` (4 in routes/presets.ts Drizzle casts, 1 in audio-analysis.ts — no .d.ts for node-web-audio-api). New code adds zero.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§15, §18.6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LLPTE inference SLA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p50 ≤15ms (current 10ms). p99 ≤25ms (TBD measure). Per-node tick ≤1ms (current 0.8ms).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§8.5, §11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Confidence gate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≥0.65 → auto-apply via setTargetAtTime. ≥0.40 → ghost-knob suggestion. &lt;0.40 → discard, log to aiDecisionLog.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§8.1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Audio param mutation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AudioParam.setTargetAtTime() — never direct .value = assignment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§16 R5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Active edges (MVP)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≤2000 (current 847)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§8.5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Node version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Node 22.x Active LTS only — never 18.x. Penguin and Termux run 18.x and are disallowed for `pnpm dev` or any code-writing task.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§11, SKILLS.md §4, §8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Pinned versions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TS 5.9.3, drizzle-orm 0.39.3, Stripe 20.4.1, ws 8.20.0, Three.js r128 (0.128.0), Vite 5, Express 4.22.1, Zod 3.25.76, pnpm 10.33.0, esbuild 0.25.12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§11, SKILLS.md §14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Billing provider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Stripe v20.4.1 only. LemonSqueezy is dead code — never resurrect, never any tier strings.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§1, §4, §15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Rate limit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100 AI requests/minute/user (express-rate-limit v7.5.1).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Demo tier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Demo environment hardcoded to pro_artist. Do not ship code that changes the demo tier.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PRD §16 R4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 tags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JSDoc/header per §4.4 on every edited source file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Charter authoring</w:t>
            </w:r>
          </w:p>
        </w:tc>
      </w:tr>
    </w:tbl>
    <w:p>
      <w:pPr>
        <w:pStyle w:val="Heading2"/>
        <w:spacing w:after="120" w:before="240"/>
      </w:pPr>
      <w:r>
        <w:t xml:space="preserve">3.2 PRD §15 Hard Guards (verbatim)</w:t>
      </w:r>
    </w:p>
    <w:p>
      <w:pPr>
        <w:spacing w:after="120" w:line="300"/>
      </w:pPr>
      <w:r>
        <w:t xml:space="preserve">These are the seven hard guards from PRD v4.1, reproduced for governance prominence. The PRD remains authoritative.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`any` — use `unknown` + type guard. (5 documented exemptions; new code adds zero.)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swallowed exceptions — all async functions handle errors explicitly.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`console.log` in committed code. (5 violations pending fix at server/index.ts:300–308 — replace with structured logger; morgan already installed.)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write without read first (Wire.txt protocol — see §4).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LemonSqueezy tier strings — ever.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Post-login redirect: /instrument only, never /daw.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 `hydrateFromToken()` inside ProtectedRoute render.</w:t>
      </w:r>
    </w:p>
    <w:p>
      <w:pPr>
        <w:pStyle w:val="Heading2"/>
        <w:spacing w:after="120" w:before="240"/>
      </w:pPr>
      <w:r>
        <w:t xml:space="preserve">3.3 Multi-Machine Rules (SKILLS.md §4, §8, §14)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development on Kali (r3v@~/Stable, Node 22.x) only. Penguin and Termux run Node 18.x — `pnpm dev` will fail with esbuild TransformError.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 any non-Kali machine, install with `pnpm install --frozen-lockfile`. Bare `pnpm install` resolves drift (esbuild 0.27.7 vs pinned 0.25.12) and is forbidden on secondary machines.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`~/r3v4_extracted` on Termux is NOT canonical. Edits there are not part of the repo and must be cherry-picked or copied back to Kali.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Penguin (`~/R3v4`) has two git remotes: `origin` (canonical) and `gitsafe-backup` (automated). Always push to `origin` explicitly. Do not delete `gitsafe-backup`.</w:t>
      </w:r>
    </w:p>
    <w:p>
      <w:pPr>
        <w:pStyle w:val="Heading2"/>
        <w:spacing w:after="120" w:before="240"/>
      </w:pPr>
      <w:r>
        <w:t xml:space="preserve">3.4 Secrets and Database Handling (SKILLS.md §4, §5, §11, §13)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Railway DB URL: never paste into chat. Type directly in the terminal. If accidentally exposed, rotate the password immediately. Public URL `ballast.proxy.rlwy.net:PORT` is required from outside Railway.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`.env` and `.env.production` DATABASE_URL point at localhost on every machine. Never trust .env for Railway operations — always explicit override: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DATABASE_URL="postgresql://postgres:PWD@ballast.proxy.rlwy.net:PORT/railway" pnpm drizzle-kit migrate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`drizzle-kit migrate` gives no explicit success message. Always verify with the column-count query (SKILLS.md §5) after every run.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`CLAUDE.local.md` is gitignored by design. Never commit. Never paste contents into chat.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Encrypted secrets archives (`r3v4_secrets_*.tar.gz.gpg`) live in `~/Stable/secrets/` on Kali only. For Railway operations, decrypting is rarely the fastest path — use the dashboard.</w:t>
      </w:r>
    </w:p>
    <w:p>
      <w:pPr>
        <w:pStyle w:val="Heading1"/>
        <w:spacing w:after="180" w:before="360"/>
      </w:pPr>
      <w:r>
        <w:t xml:space="preserve">4. The Wire.txt Engineering Protocol</w:t>
      </w:r>
    </w:p>
    <w:p>
      <w:pPr>
        <w:spacing w:after="120" w:line="300"/>
      </w:pPr>
      <w:r>
        <w:t xml:space="preserve">Every Claude instance follows this sequence for any write operation. This section governs the discipline; the Wire.txt file remains the operational reference.</w:t>
      </w:r>
    </w:p>
    <w:p>
      <w:pPr>
        <w:pStyle w:val="Heading2"/>
        <w:spacing w:after="120" w:before="240"/>
      </w:pPr>
      <w:r>
        <w:t xml:space="preserve">4.1 Pre-Write Checklist (mandatory, in order)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Read the target file in full, with line numbers.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Read every file that imports the target (grep-verified, not assumed).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Run pnpm list -r and pnpm why -r on any package whose version will change.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Produce a triple-pass diff: stated intent → generated patch → re-read of both against each other. All three must agree.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t xml:space="preserve">Write a timestamped .bak of every file about to be modified (format: file.ext.bak.YYYYMMDD-HHMMSS).</w:t>
      </w:r>
    </w:p>
    <w:p>
      <w:pPr>
        <w:pStyle w:val="Heading2"/>
        <w:spacing w:after="120" w:before="240"/>
      </w:pPr>
      <w:r>
        <w:t xml:space="preserve">4.2 Patch Mechanics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Patches are applied via Python-through-stdin (SKILLS.md §1). Never heredoc-to-file: on Termux/Android, paste-into-nano captures the shell wrapper, producing files that begin with bash and SyntaxError on the cat line.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python3 - &lt;&lt; 'EOF'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# pure python only — no cat, no PYEOF, no shell wrapper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EOF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string replacement is assertion-guarded: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count = content.count(OLD)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assert count == 1, f"expected 1 match, got {count}"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Default mode is dry-run. The --apply flag is only set by Ty or by Claude on explicit Ty go-ahead in the same turn (§7.2 approval tokens).</w:t>
      </w:r>
    </w:p>
    <w:p>
      <w:pPr>
        <w:pStyle w:val="Heading2"/>
        <w:spacing w:after="120" w:before="240"/>
      </w:pPr>
      <w:r>
        <w:t xml:space="preserve">4.3 Post-Write Verification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Run pnpm tsc --noEmit. Zero errors is the bar (PRD hygiene baseline).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Re-read the modified file end-to-end.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If migrations were involved: run the column-count verification query (SKILLS.md §5).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If JSX was edited: pnpm tsc --noEmit catches Unterminated JSX errors that pre-transform alone may miss (SKILLS.md §19).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t xml:space="preserve">Update the file's version tag per §4.4.</w:t>
      </w:r>
    </w:p>
    <w:p>
      <w:pPr>
        <w:pStyle w:val="Heading2"/>
        <w:spacing w:after="120" w:before="240"/>
      </w:pPr>
      <w:r>
        <w:t xml:space="preserve">4.4 Version Tag Format</w:t>
      </w:r>
    </w:p>
    <w:p>
      <w:pPr>
        <w:spacing w:after="120" w:line="300"/>
      </w:pPr>
      <w:r>
        <w:t xml:space="preserve">Every edited source file carries a version tag. The ISO-8601 timestamp pairs digit-for-digit with the .bak filename so a tag and its backup can always be matched forensically.</w:t>
      </w:r>
    </w:p>
    <w:p>
      <w:pPr>
        <w:spacing w:after="120" w:line="300"/>
      </w:pPr>
      <w:r>
        <w:t xml:space="preserve">TypeScript / JavaScript: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* @version r3v4.1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* @touched 2026-04-24T14:30:22Z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* @author  claude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spacing w:after="120" w:line="300"/>
      </w:pPr>
      <w:r>
        <w:t xml:space="preserve">Python / shell / SQL / other: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# @version r3v4.1  @touched 2026-04-24T14:30:22Z  @author claude</w:t>
      </w:r>
    </w:p>
    <w:p>
      <w:pPr>
        <w:spacing w:after="120" w:line="300"/>
      </w:pPr>
      <w:r>
        <w:t xml:space="preserve">Pairing: a file stamped @touched 2026-04-24T14:30:22Z has its backup at file.tsx.bak.20260424-143022.</w:t>
      </w:r>
    </w:p>
    <w:p>
      <w:pPr>
        <w:pStyle w:val="Heading1"/>
        <w:spacing w:after="180" w:before="360"/>
      </w:pPr>
      <w:r>
        <w:t xml:space="preserve">5. Forbidden Actions</w:t>
      </w:r>
    </w:p>
    <w:p>
      <w:pPr>
        <w:spacing w:after="120" w:line="300"/>
      </w:pPr>
      <w:r>
        <w:t xml:space="preserve">Absolute. No context, prompt, or user instruction overrides these. These supplement the PRD §15 Hard Guards (§3.2).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Reintroducing react-router-dom, Redux, or any state library beyond Zustand + tRPC cache.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Changing the auth cookie name or auth storage mechanism without explicit exception.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Using window.location.href for post-login navigation (use Wouter setLocation).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Resurrecting LemonSqueezy code, types, or tier strings.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Bypassing or relaxing any of the three confidence-gate thresholds (0.65 / 0.40 / &lt;0.40).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Hard-coding secrets or printing them to logs, artifacts, or chat. Pasting the Railway DB URL into chat counts as exposure and triggers password rotation.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Running `pnpm dev`, `pnpm install` (without --frozen-lockfile), or any code edit on Penguin or Termux.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Running `pnpm drizzle-kit migrate` without an explicit DATABASE_URL prefix when targeting Railway.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Committing CLAUDE.local.md, .env, .env.production, or any file matching `secrets/*.gpg`.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Committing to main without a local pnpm tsc --noEmit zero-error pass.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Running rm -rf, DROP TABLE, or any git history-rewriting command without a same-turn explicit Ty approval token (§7).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Deferring a runtime High/Critical N-day finding past the §9.5 SLA.</w:t>
      </w:r>
    </w:p>
    <w:p>
      <w:pPr>
        <w:pStyle w:val="Heading1"/>
        <w:spacing w:after="180" w:before="360"/>
      </w:pPr>
      <w:r>
        <w:t xml:space="preserve">6. LLPTE Pipeline Governance</w:t>
      </w:r>
    </w:p>
    <w:p>
      <w:pPr>
        <w:spacing w:after="120" w:line="300"/>
      </w:pPr>
      <w:r>
        <w:t xml:space="preserve">LLPTE (Low-Latency Processing Transition Engine) is R3 v4's core IP — six TypeScript monorepo packages under packages/llpte-*. Its node order is immutable: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inputRouter → spectralAnalyzer → aiMixEngine → transitionGraph → outputBus</w:t>
      </w:r>
    </w:p>
    <w:p>
      <w:pPr>
        <w:spacing w:after="120" w:line="300"/>
      </w:pPr>
      <w:r>
        <w:t xml:space="preserve">Per PRD §8.5 the package mapping is: llpte-adapters (inputRouter), llpte-signal (spectralAnalyzer), llpte-ai (aiMixEngine), llpte-transition-graph, llpte-execution (outputBus). Note that PRD §7 Zone 4B labels node 3 as “llpte-core” in the UI diagram while the glossary and package list call it aiMixEngine; both refer to the same node.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Adding a node requires an Exception Request (§7) and a written latency-budget amendment showing the p50/p99 SLA still holds.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Reordering nodes is forbidden.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Any new feature enters through the established build pattern: shared types → signal analysis → AI inference → execution → pipeline orchestration → React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three SLA thresholds are LLPTE invariants: p50 ≤15ms, p99 ≤25ms, per-node tick ≤1ms. Regressions to any require a measured before/after benchmark attached to the Exception Request.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Active-edge ceiling for MVP is 2000 (current 847). 16-track support fits within the ceiling; 32-track requires a transitionGraph optimization pass per PRD §18.3.</w:t>
      </w:r>
    </w:p>
    <w:p>
      <w:pPr>
        <w:pStyle w:val="Heading1"/>
        <w:spacing w:after="180" w:before="360"/>
      </w:pPr>
      <w:r>
        <w:t xml:space="preserve">7. Exception Requests and Approval Tokens</w:t>
      </w:r>
    </w:p>
    <w:p>
      <w:pPr>
        <w:pStyle w:val="Heading2"/>
        <w:spacing w:after="120" w:before="240"/>
      </w:pPr>
      <w:r>
        <w:t xml:space="preserve">7.1 Request Format</w:t>
      </w:r>
    </w:p>
    <w:p>
      <w:pPr>
        <w:spacing w:after="120" w:line="300"/>
      </w:pPr>
      <w:r>
        <w:t xml:space="preserve">When Claude believes a governed rule should be broken, Claude opens an exception request in the current chat with this shape: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Rule being challenged (exact citation from this Charter).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Proposed 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Concrete evidence (benchmark, failing test, security advisory, PRD reference).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Rollback plan if the change fails in prod.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Explicit ask: “Ty, approve this exception? (Y/N)”</w:t>
      </w:r>
    </w:p>
    <w:p>
      <w:pPr>
        <w:pStyle w:val="Heading2"/>
        <w:spacing w:after="120" w:before="240"/>
      </w:pPr>
      <w:r>
        <w:t xml:space="preserve">7.2 Approval Token</w:t>
      </w:r>
    </w:p>
    <w:p>
      <w:pPr>
        <w:spacing w:after="120" w:line="300"/>
      </w:pPr>
      <w:r>
        <w:t xml:space="preserve">Strict approval tokens only. Claude treats exactly the following as approval, case-insensitive: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yes</w:t>
      </w:r>
    </w:p>
    <w:p>
      <w:pPr>
        <w:spacing w:after="120" w:line="300"/>
      </w:pPr>
      <w:r>
        <w:t xml:space="preserve">Anything else — “sure,” “go,” “proceed,” “ship it,” “sounds good” — is NOT an approval token. Claude re-asks with the (Y/N) prompt.</w:t>
      </w:r>
    </w:p>
    <w:p>
      <w:pPr>
        <w:pStyle w:val="Heading2"/>
        <w:spacing w:after="120" w:before="240"/>
      </w:pPr>
      <w:r>
        <w:t xml:space="preserve">7.3 No Retro-Approval</w:t>
      </w:r>
    </w:p>
    <w:p>
      <w:pPr>
        <w:spacing w:after="120" w:line="300"/>
      </w:pPr>
      <w:r>
        <w:t xml:space="preserve">No exception is active until Ty replies with an approval token before the action. If Claude already made the change, it is reverted from the .bak and re-proposed cleanly.</w:t>
      </w:r>
    </w:p>
    <w:p>
      <w:pPr>
        <w:pStyle w:val="Heading1"/>
        <w:spacing w:after="180" w:before="360"/>
      </w:pPr>
      <w:r>
        <w:t xml:space="preserve">8. Audit and Compliance</w:t>
      </w:r>
    </w:p>
    <w:p>
      <w:pPr>
        <w:pStyle w:val="Heading2"/>
        <w:spacing w:after="120" w:before="240"/>
      </w:pPr>
      <w:r>
        <w:t xml:space="preserve">8.1 Traceability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modified file carries an updated version tag per §4.4.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.bak files are retained until Ty deletes them (retention policy TBD — see §10).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git push goes to `origin` explicitly. Interrupted pushes are idempotent and safe to re-run (SKILLS.md §15, §22).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drizzle-kit migrate run is followed by the column-count verification query. Migration 0005 (aiDecisionLog) is current head; PRD §18.6 notes Railway production apply was pending as of 2026-04-12 — verify before relying on aiDecisionLog writes.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Admin Agent Suite (r3v4_agi_fixed.html) is intended to log Anthropic API usage; log schema TBD (§10).</w:t>
      </w:r>
    </w:p>
    <w:p>
      <w:pPr>
        <w:pStyle w:val="Heading2"/>
        <w:spacing w:after="120" w:before="240"/>
      </w:pPr>
      <w:r>
        <w:t xml:space="preserve">8.2 Violation Response</w:t>
      </w:r>
    </w:p>
    <w:p>
      <w:pPr>
        <w:spacing w:after="120" w:line="300"/>
      </w:pPr>
      <w:r>
        <w:t xml:space="preserve">If a Charter violation is discovered: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Halt. No further writes until the violation is reviewed.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Restore from the most recent .bak.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Post-mortem: short note of what rule was violated and whether the rule needs tightening.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t xml:space="preserve">If tightening is warranted, Claude drafts a Charter revision and presents it to Ty. Only Ty commits the revision and increments the version (v1.2 → v1.3).</w:t>
      </w:r>
    </w:p>
    <w:p>
      <w:pPr>
        <w:pStyle w:val="Heading2"/>
        <w:spacing w:after="120" w:before="240"/>
      </w:pPr>
      <w:r>
        <w:t xml:space="preserve">8.3 Review Cadence</w:t>
      </w:r>
    </w:p>
    <w:p>
      <w:pPr>
        <w:spacing w:after="120" w:line="300"/>
      </w:pPr>
      <w:r>
        <w:t xml:space="preserve">This Charter is reviewed at every MVP milestone (next: MVP Item 4 — Mix Suggestion System backend wiring), immediately after any violation, and immediately after any High/Critical CVE affecting the runtime surface.</w:t>
      </w:r>
    </w:p>
    <w:p>
      <w:pPr>
        <w:pStyle w:val="Heading1"/>
        <w:spacing w:after="180" w:before="360"/>
      </w:pPr>
      <w:r>
        <w:t xml:space="preserve">9. Security Response (Mythos-class threat model)</w:t>
      </w:r>
    </w:p>
    <w:p>
      <w:pPr>
        <w:spacing w:after="120" w:line="300"/>
      </w:pPr>
      <w:r>
        <w:t xml:space="preserve">This section integrates the Mythos Security Triage skill (Mythos-Skills.pdf, derived from red.anthropic.com, April 7, 2026). When this section and the Mythos skill disagree, the Mythos skill wins.</w:t>
      </w:r>
    </w:p>
    <w:p>
      <w:pPr>
        <w:pStyle w:val="Heading2"/>
        <w:spacing w:after="120" w:before="240"/>
      </w:pPr>
      <w:r>
        <w:t xml:space="preserve">9.1 Threat Model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Assume the adversary has Mythos-class AI assistance. Re-price every “attacker would need X” claim: if X is achievable at scale by a model-assisted adversary, X is friction, not a barrier.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When a CVE is public, the clock is already running. Mythos produces working N-day exploits autonomously from a CVE ID and a git commit hash. The published patch is the attacker's roadmap.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“We're not a big enough target” is disqualified as reasoning. Mythos-class N-day exploits cost roughly $1k–$2k to produce — obscurity-of-target is not a control.</w:t>
      </w:r>
    </w:p>
    <w:p>
      <w:pPr>
        <w:pStyle w:val="Heading2"/>
        <w:spacing w:after="120" w:before="240"/>
      </w:pPr>
      <w:r>
        <w:t xml:space="preserve">9.2 Per-Finding Workflow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Grade severity yourself on CVSS axes (Attack Vector, Complexity, Privileges, User Interaction, C/I/A) BEFORE reading the advisory's grade. Prevents anchoring.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Compare. Exact match → proceed. Within one level → proceed, note the delta. More than one level apart → STOP and resolve before acting (~2% case).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When uncertain, round up. Do not round toward the advisory — the advisory does not know your codebase.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Apply the friction-vs-barrier test (§9.3) to any proposed mitigation.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t xml:space="preserve">Apply the surface triage table (§9.4) to determine action.</w:t>
      </w:r>
    </w:p>
    <w:p>
      <w:pPr>
        <w:pStyle w:val="Heading2"/>
        <w:spacing w:after="120" w:before="240"/>
      </w:pPr>
      <w:r>
        <w:t xml:space="preserve">9.3 Friction vs Barrier Test</w:t>
      </w:r>
    </w:p>
    <w:p>
      <w:pPr>
        <w:spacing w:after="120" w:line="300"/>
      </w:pPr>
      <w:r>
        <w:t xml:space="preserve">For every proposed mitigation: if the attacker runs this attempt one million times in parallel with model assistance, does it still hold?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Barrier-class (retains value): cryptographic verification of inputs; capability/permission models; typed schema validation at the trust boundary; process isolation / sandboxing; W^X / memory-safety; signed artifacts; HMAC-bound requests; CSRF tokens that are cryptographically random, per-session, server-validated; SameSite cookies enforced by the browser.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Friction-class (degrades): obscurity (“undocumented endpoint”); long-but-guessable tokens without defense-in-depth rate limiting; multi-step chains where each step is individually probable; minification as a “defense”; hand-rolled encoding instead of canonical escaping; short or predictable CSRF tokens.</w:t>
      </w:r>
    </w:p>
    <w:p>
      <w:pPr>
        <w:spacing w:after="120" w:line="300"/>
      </w:pPr>
      <w:r>
        <w:t xml:space="preserve">If the only mitigation present is friction, the finding is not resolved. Friction-only deferral for a runtime finding requires explicit written risk acceptance.</w:t>
      </w:r>
    </w:p>
    <w:p>
      <w:pPr>
        <w:pStyle w:val="Heading2"/>
        <w:spacing w:after="120" w:before="240"/>
      </w:pPr>
      <w:r>
        <w:t xml:space="preserve">9.4 Surface Triage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Critical / 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N-day (public CVE)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Block release. Fix now. SLA ≤30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Critical / 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Not public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Block release. Fix now.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Critical / High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Friction-only fix exists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Block release. Escalate to 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 still open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Block merge. Fix in same change.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 main, N-day, non-trivial fix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Defer only with barrier-class interim and date ≤90 days from advisory.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On main, not public, non-trivial fix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Defer with barrier-class interim only.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Clean fix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Fix now.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Dev-build w/ supply-chain path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Treat as runtime.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Dev-build w/ credential pivot to prod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Treat as runtime.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Dev-build w/ attacker input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Fix or pin + interim + SECURITY.md.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Dev-build, fully isolated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Any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Document, pin, plan upgrade. Quarterly review.</w:t>
            </w:r>
          </w:p>
        </w:tc>
      </w:tr>
    </w:tbl>
    <w:p>
      <w:pPr>
        <w:pStyle w:val="Heading2"/>
        <w:spacing w:after="120" w:before="240"/>
      </w:pPr>
      <w:r>
        <w:t xml:space="preserve">9.5 Deferred Findings (required fields)</w:t>
      </w:r>
    </w:p>
    <w:p>
      <w:pPr>
        <w:spacing w:after="120" w:line="300"/>
      </w:pPr>
      <w:r>
        <w:t xml:space="preserve">Every deferred finding needs all three fields, or it is not deferred — it is unmanaged.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Owner — a named person, not a team.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Revisit trigger — a date for N-day findings (event-only triggers fail). For non-public findings, a concrete event is acceptable.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Interim control — a barrier-class mitigation, or explicit written acceptance with reasoning, or a friction-only interim clearly labeled as such.</w:t>
      </w:r>
    </w:p>
    <w:p>
      <w:pPr>
        <w:spacing w:after="120" w:line="300"/>
      </w:pPr>
      <w:r>
        <w:t xml:space="preserve">N-day SLA: trigger date ≤30 days from advisory publication for High/Critical, ≤90 days for Medium. Friction-only interim is not acceptable for runtime N-day findings rated Medium or above.</w:t>
      </w:r>
    </w:p>
    <w:p>
      <w:pPr>
        <w:pStyle w:val="Heading2"/>
        <w:spacing w:after="120" w:before="240"/>
      </w:pPr>
      <w:r>
        <w:t xml:space="preserve">9.6 Anti-Patterns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“It's a transitive dev dep, ignore it.” Valid only after surface triage confirms no supply-chain path, no attacker input to the tool, and no credential pivot.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“We'll fix it post-MVP.” Valid only with a date-based revisit trigger and named owner.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“The attacker would need to X first.” If X is achievable at scale by a model-assisted adversary, X is friction.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“The fix is out but we haven't tested it in our env yet.” For an N-day, not having tested the fix is an urgent action item, not a deferral reason.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“Dependabot didn't flag anything this week.” The known queue is a floor; the Mythos writeup frames its findings as a lower bound.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Accepting the advisory severity unchanged without independent re-grading.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Silently closing a Dependabot alert. Always leave triage reasoning as a comment.</w:t>
      </w:r>
    </w:p>
    <w:p>
      <w:pPr>
        <w:pStyle w:val="Heading2"/>
        <w:spacing w:after="120" w:before="240"/>
      </w:pPr>
      <w:r>
        <w:t xml:space="preserve">9.7 SECURITY.md</w:t>
      </w:r>
    </w:p>
    <w:p>
      <w:pPr>
        <w:spacing w:after="120" w:line="300"/>
      </w:pPr>
      <w:r>
        <w:t xml:space="preserve">Every deferred runtime finding has a SECURITY.md entry using the template in Mythos-Skills.pdf. The entry IS the deferral; without it, the finding is unmanaged. R3 v4 currently has open MODERATE Dependabot alerts (referenced in session history) — each needs a SECURITY.md entry or a fix.</w:t>
      </w:r>
    </w:p>
    <w:p>
      <w:pPr>
        <w:pStyle w:val="Heading1"/>
        <w:spacing w:after="180" w:before="360"/>
      </w:pPr>
      <w:r>
        <w:t xml:space="preserve">10. Open Questions (TBD)</w:t>
      </w:r>
    </w:p>
    <w:p>
      <w:pPr>
        <w:spacing w:after="120" w:line="300"/>
      </w:pPr>
      <w:r>
        <w:t xml:space="preserve">Items surfaced during the v1.2 audit that are not yet governed. v1.1 Q2 (migration protocol) is now resolved by SKILLS.md §5 and §13; v1.1 Q3 (test coverage) refined to Q2 below (pre-merge gate).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1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Open Question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“Claude session” identifier format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§8.1 requires file comments naming the session; format is unspecified.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Pre-merge test gate policy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Vitest exists with 42+ cases (PRD §0). No rule says which tests must pass before --apply on what file classes.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Browser isolation (COOP/COEP) governance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SharedArrayBuffer + AudioWorklet require these headers. Not currently locked.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Q4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Multi-instance Council coordination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Two Claude instances could both believe --apply was granted in parallel. No conflict-resolution rule yet.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Q5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.bak retention period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§8.1 retention is open-ended; a policy (e.g., 72 h minimum, purge on milestone) should be set.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Q6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Admin Agent Suite log schema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§8.1 requires logging but does not define fields, storage, or rotation.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Q7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Auth cookie name verification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19"/>
                <w:szCs w:val="19"/>
              </w:rPr>
              <w:t xml:space="preserve">§3.1 locks the cookie name to whatever's in code, but the canonical value has not been confirmed against repo. Verify against authStore + trpcAuth and pin in v1.3.</w:t>
            </w:r>
          </w:p>
        </w:tc>
      </w:tr>
    </w:tbl>
    <w:p>
      <w:pPr>
        <w:pStyle w:val="Heading1"/>
        <w:spacing w:after="180" w:before="360"/>
      </w:pPr>
      <w:r>
        <w:t xml:space="preserve">11. Signature</w:t>
      </w:r>
    </w:p>
    <w:p>
      <w:pPr>
        <w:spacing w:after="120" w:line="300"/>
      </w:pPr>
      <w:r>
        <w:t xml:space="preserve">By invoking Claude on the R3 v4 repo, Ty asserts the Council is in session and all rules above are binding.</w:t>
      </w:r>
    </w:p>
    <w:p>
      <w:pPr>
        <w:spacing w:after="120" w:before="360"/>
      </w:pPr>
      <w:r>
        <w:rPr>
          <w:sz w:val="22"/>
          <w:szCs w:val="22"/>
        </w:rPr>
        <w:t xml:space="preserve">Principal:  ______________________________      Date:  ______________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Ty — sole developer, R3 v4</w:t>
      </w:r>
    </w:p>
    <w:p>
      <w:pPr>
        <w:spacing w:before="360"/>
        <w:jc w:val="center"/>
      </w:pPr>
      <w:r>
        <w:rPr>
          <w:i/>
          <w:iCs/>
          <w:color w:val="9CA3AF"/>
          <w:sz w:val="20"/>
          <w:szCs w:val="20"/>
        </w:rPr>
        <w:t xml:space="preserve">— End of Charter —</w:t>
      </w:r>
    </w:p>
    <w:p>
      <w:pPr>
        <w:pStyle w:val="Heading1"/>
        <w:spacing w:after="180" w:before="360"/>
      </w:pPr>
      <w:r>
        <w:t xml:space="preserve">Appendix A. Changelog v1.1 → v1.2</w:t>
      </w:r>
    </w:p>
    <w:p>
      <w:pPr>
        <w:spacing w:after="120" w:line="300"/>
      </w:pPr>
      <w:r>
        <w:t xml:space="preserve">v1.2 (2026-04-24) — PRD- and SKILLS.md-aligned, Mythos integrated.</w:t>
      </w:r>
    </w:p>
    <w:p>
      <w:pPr>
        <w:pStyle w:val="Heading2"/>
        <w:spacing w:after="120" w:before="240"/>
      </w:pPr>
      <w:r>
        <w:t xml:space="preserve">Conflicts with PRD reconciled (PRD wins on facts):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Auth row: rewrote from “r3_token (localStorage)” to “JWT in httpOnly cookie” per PRD §14. Cookie name verification opened as Q7.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Type discipline: changed from absolute “zero any” to “target zero with 5 documented exemptions; new code adds zero” per PRD §15.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Color row: split into DAW signal colors (PRD §3, §7) and Mixer acid-techno theme (SKILLS.md §7).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LLPTE latency: expanded from p50-only to full p50/p99/per-node-tick triple per PRD §8.5.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Confidence gate: expanded from 0.65-only to three-tier 0.65/0.40/&lt;0.40 per PRD §8.1.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LLPTE node 3: noted PRD §7 Zone 4B labels “llpte-core” vs glossary “aiMixEngine” — same node.</w:t>
      </w:r>
    </w:p>
    <w:p>
      <w:pPr>
        <w:pStyle w:val="Heading2"/>
        <w:spacing w:after="120" w:before="240"/>
      </w:pPr>
      <w:r>
        <w:t xml:space="preserve">PRD §15 Hard Guards added (§3.2):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swallowed exceptions, no console.log, no hydrateFromToken in ProtectedRoute render.</w:t>
      </w:r>
    </w:p>
    <w:p>
      <w:pPr>
        <w:pStyle w:val="Heading2"/>
        <w:spacing w:after="120" w:before="240"/>
      </w:pPr>
      <w:r>
        <w:t xml:space="preserve">SKILLS.md rules added: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§3.3 Multi-machine: Kali-only development, frozen-lockfile on secondaries, Penguin/Termux Node 18.x ban.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§3.4 Secrets: Railway DB URL never in chat, .env never trusted for Railway, CLAUDE.local.md gitignored.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§4.2 Patch mechanics: Python-stdin rationale (Termux nano paste failure mode).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§4.3 Post-write: column-count verification, JSX-error-via-tsc note.</w:t>
      </w:r>
    </w:p>
    <w:p>
      <w:pPr>
        <w:pStyle w:val="Heading2"/>
        <w:spacing w:after="120" w:before="240"/>
      </w:pPr>
      <w:r>
        <w:t xml:space="preserve">Mythos Security Response added (§9):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Threat-model reframe; per-finding workflow; friction-vs-barrier test; surface triage table; deferred-finding requirements; anti-patterns.</w:t>
      </w:r>
    </w:p>
    <w:p>
      <w:pPr>
        <w:pStyle w:val="Heading2"/>
        <w:spacing w:after="120" w:before="240"/>
      </w:pPr>
      <w:r>
        <w:t xml:space="preserve">Open Questions reduced (§10):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v1.1 Q2 (migration protocol) resolved by SKILLS.md.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v1.1 Q3 (test coverage) refined to Q2 (pre-merge gate).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New Q7: cookie name verification.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R3 v4 — Claude Council Charter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R3 v4 Claude Council Governance Charter v1.2</dc:title>
  <dc:creator>Claude (R3 v4 Council)</dc:creator>
  <cp:lastModifiedBy>Un-named</cp:lastModifiedBy>
  <cp:revision>1</cp:revision>
  <dcterms:created xsi:type="dcterms:W3CDTF">2026-04-25T01:41:55.397Z</dcterms:created>
  <dcterms:modified xsi:type="dcterms:W3CDTF">2026-04-25T01:41:55.398Z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