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17679" cy="48101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679" cy="481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3595688</wp:posOffset>
            </wp:positionH>
            <wp:positionV relativeFrom="paragraph">
              <wp:posOffset>114300</wp:posOffset>
            </wp:positionV>
            <wp:extent cx="2138363" cy="354951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54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PROYECTO DE FORMACIÓN EN CIBERSEGURIDAD PARA LA COMUNIDAD EDUCATIVA</w:t>
      </w:r>
    </w:p>
    <w:p w:rsidR="00000000" w:rsidDel="00000000" w:rsidP="00000000" w:rsidRDefault="00000000" w:rsidRPr="00000000" w14:paraId="00000006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PLANIFICACIÓN DE GRUPOS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325"/>
        <w:gridCol w:w="2340"/>
        <w:gridCol w:w="1845"/>
        <w:tblGridChange w:id="0">
          <w:tblGrid>
            <w:gridCol w:w="2505"/>
            <w:gridCol w:w="2325"/>
            <w:gridCol w:w="234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ETAPA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ASISTENTES (Desglose)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ASISTENTES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(Total)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ESO *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ESO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2º ESO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3º ESO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4º ESO 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4º ESO 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BACHILLERATO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BACH 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BACH 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GRADO BÁSICO *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CFGB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2º CFGB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FPBE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2º FPBE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GRADO MEDIO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GA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SMR A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SMR 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GRADO SUPERIOR Y CURSO DE ESP. (MAÑANA)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AF 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DAW 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VIDEOJUEGOS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GRADO SUPERIOR Y CURSO DE ESP. (TARDE)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AF B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DAW B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1º DAM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BIG DATA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COMUNIDAD EDUCATIVA (TARDE)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FAMILIAS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DOCENTES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TOTAL DE SESIONES:</w:t>
      </w:r>
      <w:r w:rsidDel="00000000" w:rsidR="00000000" w:rsidRPr="00000000">
        <w:rPr>
          <w:rtl w:val="0"/>
        </w:rPr>
        <w:t xml:space="preserve"> 12 (9 de mañana y 3 de tarde)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OBSERVACIONES: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trata de una planificación mínima, ampliable (en caso de disponibilidad) a los cursos de 2º de las etapas de Bachillerato, Grado Medio y Superior.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Además, en las etapas marcadas con asterisco (ESO y Grado Básico), consideramos la posibilidad de hacer dos sesiones de una hora. En tal caso, el número total de sesiones subiría a 17.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