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etari"/>
        <w:jc w:val="left"/>
      </w:pPr>
      <w:r>
        <w:t>NORMAS PARA PUBLICAÇÃO E SUBMISSÃO DE MANUSCRITOS</w:t>
      </w:r>
    </w:p>
    <w:p>
      <w:pPr>
        <w:pStyle w:val="SubtitleSetari"/>
      </w:pPr>
      <w:r>
        <w:t>SETARI - Science, Engineering, Technology, Applied Research &amp; Innovation · Versão 1.0 / Version 1.0 · Agosto/August 2026</w:t>
      </w:r>
      <w:r>
        <w:rPr>
          <w:rFonts w:ascii="Arial" w:hAnsi="Arial"/>
          <w:sz w:val="16"/>
        </w:rPr>
        <w:t xml:space="preserve"> · Contato editorial: revistasetari@gmail.com</w:t>
      </w:r>
    </w:p>
    <w:p>
      <w:pPr>
        <w:pStyle w:val="GuideSetari"/>
        <w:ind w:left="85" w:right="85"/>
        <w:jc w:val="both"/>
        <w:shd w:fill="F6F8F8"/>
      </w:pPr>
      <w:r>
        <w:rPr>
          <w:b w:val="0"/>
        </w:rPr>
        <w:t>Estas normas estabelecem o padrão inicial de submissão, avaliação e preparação de artigos da SETARI, periódico de Ciência, Engenharia, Tecnologia, Pesquisa Aplicada e Inovação.</w:t>
      </w:r>
    </w:p>
    <w:p>
      <w:pPr>
        <w:pStyle w:val="H1Setari"/>
      </w:pPr>
      <w:r>
        <w:t>1. Escopo editorial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A SETARI publica trabalhos originais e de revisão nas áreas de Ciência, Engenharia, Tecnologia e Pesquisa Aplicada, com ênfase em contribuições que combinem rigor científico, relevância tecnológica, aplicabilidade e inovação.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Engenharia Elétrica, Eletrônica, Energia, Smart Grids e mobilidade elétrica;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Automação, Controle, Instrumentação, Robótica, sistemas embarcados e redes industriais;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Engenharia Mecânica, manufatura, manutenção, confiabilidade, modelagem e simulação;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Engenharia de Produção, otimização, logística, qualidade e sistemas produtivos;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Engenharia Civil, infraestrutura, saneamento, recursos hídricos, construção e cidades inteligentes;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Engenharia Química, Ambiental, materiais, processos, energia e sustentabilidade;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Computação aplicada à Engenharia, IA, ciência de dados, IoT, gêmeos digitais e sistemas ciberfísicos;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Educação em Engenharia, laboratórios virtuais, simulação e tecnologias educacionais.</w:t>
      </w:r>
    </w:p>
    <w:p>
      <w:pPr>
        <w:pStyle w:val="H1Setari"/>
      </w:pPr>
      <w:r>
        <w:t>2. Tipos de manuscrito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A categoria deve ser selecionada no momento da submissão. O limite inclui todas as partes do arquivo final.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0F1"/>
          </w:tcPr>
          <w:p>
            <w:pPr>
              <w:jc w:val="left"/>
            </w:pPr>
            <w:r>
              <w:rPr>
                <w:rFonts w:ascii="Arial" w:hAnsi="Arial"/>
                <w:b/>
                <w:color w:val="1E2326"/>
                <w:sz w:val="14"/>
              </w:rPr>
              <w:t>Categoria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0F1"/>
          </w:tcPr>
          <w:p>
            <w:pPr>
              <w:jc w:val="left"/>
            </w:pPr>
            <w:r>
              <w:rPr>
                <w:rFonts w:ascii="Arial" w:hAnsi="Arial"/>
                <w:b/>
                <w:color w:val="1E2326"/>
                <w:sz w:val="14"/>
              </w:rPr>
              <w:t>Escopo esperado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E8F0F1"/>
          </w:tcPr>
          <w:p>
            <w:pPr>
              <w:jc w:val="left"/>
            </w:pPr>
            <w:r>
              <w:rPr>
                <w:rFonts w:ascii="Arial" w:hAnsi="Arial"/>
                <w:b/>
                <w:color w:val="1E2326"/>
                <w:sz w:val="14"/>
              </w:rPr>
              <w:t>Limite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Artigo original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Pesquisa inédita com método, resultados, discussão e contribuição.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Até 15 páginas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Artigo de revisão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Revisão crítica, sistemática ou bibliométrica.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Até 15 páginas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Artigo tecnológico/aplicado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Desenvolvimento, validação ou aplicação de método/sistema/processo.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Até 15 páginas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Estudo de caso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Caso tecnicamente relevante com lições generalizáveis.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Até 12 páginas</w:t>
            </w:r>
          </w:p>
        </w:tc>
      </w:tr>
      <w:tr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Nota técnica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Resultado pontual, método, instrumento, dataset, software ou solução.</w:t>
            </w:r>
          </w:p>
        </w:tc>
        <w:tc>
          <w:tcPr>
            <w:tcW w:type="dxa" w:w="32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color w:val="1E2326"/>
                <w:sz w:val="14"/>
              </w:rPr>
              <w:t>Até 8 páginas</w:t>
            </w:r>
          </w:p>
        </w:tc>
      </w:tr>
    </w:tbl>
    <w:p>
      <w:pPr>
        <w:pStyle w:val="H1Setari"/>
      </w:pPr>
      <w:r>
        <w:t>3. Idiomas e metadados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A SETARI aceita manuscritos em inglês ou português. Para ampliar a descoberta internacional, título, resumo e palavras-chave devem ser apresentados nos dois idiomas.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Título preferencialmente até 18 palavras;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Resumo e Abstract entre 200 e 250 palavras;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3 a 6 palavras-chave em cada idioma;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ORCID obrigatório para o autor correspondente e recomendado para todos na submissão; na versão final, todos os autores devem informar ORCID quando possuírem;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Afiliações completas com instituição, unidade, cidade, estado/região e país.</w:t>
      </w:r>
    </w:p>
    <w:p>
      <w:pPr>
        <w:pStyle w:val="H1Setari"/>
      </w:pPr>
      <w:r>
        <w:t>4. Formatação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O manuscrito deve utilizar o template oficial da SETARI. A versão publicada adota formato A4 e corpo em duas colunas. O limite padrão para artigos originais, de revisão e tecnológicos é de 15 páginas.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Fonte do corpo: equivalente a Times New Roman, 9,5-10 pt;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Sistema Internacional de Unidades (SI);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Numeração decimal de seções;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Figuras e tabelas inseridas próximas à primeira citação;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Evitar notas de rodapé extensas.</w:t>
      </w:r>
    </w:p>
    <w:p>
      <w:pPr>
        <w:pStyle w:val="H1Setari"/>
      </w:pPr>
      <w:r>
        <w:t>5. Estrutura do artigo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A organização deve refletir a natureza da pesquisa, mantendo clareza entre problema, método, evidência e conclusão.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Introdução: problema, relevância, estado da arte, lacuna, objetivo e contribuição;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Fundamentação/Trabalhos relacionados: síntese crítica;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Materiais e Métodos: descrição reprodutível;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Resultados: evidências organizadas e quantitativas quando aplicável;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Discussão: interpretação, comparação, limitações e implicações;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Conclusões: resposta aos objetivos e contribuição;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Declarações: financiamento, conflitos, ética, dados/código, CRediT e IA;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Referências: sistema numérico SETARI.</w:t>
      </w:r>
    </w:p>
    <w:p>
      <w:pPr>
        <w:pStyle w:val="H1Setari"/>
      </w:pPr>
      <w:r>
        <w:t>6. Figuras e tabelas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Figuras e tabelas devem ser numeradas em ordem de citação, possuir legendas autossuficientes e permanecer legíveis no tamanho final.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Imagens raster: recomenda-se pelo menos 300 dpi;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Gráficos devem identificar eixos, grandezas e unidades;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Arquivos vetoriais são preferíveis para diagramas e gráficos;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Não duplicar o mesmo dado em texto, tabela e figura;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Material adaptado de terceiros deve indicar fonte e permissão quando necessária.</w:t>
      </w:r>
    </w:p>
    <w:p>
      <w:pPr>
        <w:pStyle w:val="H1Setari"/>
      </w:pPr>
      <w:r>
        <w:t>7. Equações, símbolos e unidades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Equações devem ser editáveis, numeradas quando citadas e acompanhadas da definição das variáveis. Use SI e inclua nomenclatura quando houver muitos símbolos.</w:t>
      </w:r>
    </w:p>
    <w:p>
      <w:pPr>
        <w:pStyle w:val="H1Setari"/>
      </w:pPr>
      <w:r>
        <w:t>8. Referências e citações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A SETARI adota sistema numérico por ordem da primeira citação: [1], [2], [3-5]. As referências devem ser completas, verificáveis e diretamente relacionadas ao trabalho.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Incluir DOI como URL completa quando disponível;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Evitar referências inexistentes, excesso de autocitação e citações sem relação direta com a afirmação;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Priorizar literatura revisada por pares e atual quando pertinente;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Dados, software, normas e preprints podem ser citados se tecnicamente relevantes.</w:t>
      </w:r>
    </w:p>
    <w:p>
      <w:pPr>
        <w:pStyle w:val="GuideSetari"/>
        <w:ind w:left="85" w:right="85"/>
        <w:jc w:val="both"/>
        <w:shd w:fill="F6F8F8"/>
      </w:pPr>
      <w:r>
        <w:rPr>
          <w:b w:val="0"/>
        </w:rPr>
        <w:t>Exemplo: [1] A. A. Autor e B. B. Autor, “Título do artigo,” Nome do Periódico, vol. 12, n. 3, p. 100-112, 2026. https://doi.org/10.xxxx/xxxxx</w:t>
      </w:r>
    </w:p>
    <w:p>
      <w:pPr>
        <w:pStyle w:val="H1Setari"/>
      </w:pPr>
      <w:r>
        <w:t>9. Autoria e CRediT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Todos os autores devem ter contribuição substancial e assumir responsabilidade pelo trabalho. A versão final deve informar as contribuições utilizando a taxonomia CRediT.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Conceptualization; Data curation; Formal analysis; Funding acquisition; Investigation; Methodology;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Project administration; Resources; Software; Supervision; Validation; Visualization;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Writing - original draft; Writing - review &amp; editing.</w:t>
      </w:r>
    </w:p>
    <w:p>
      <w:pPr>
        <w:pStyle w:val="H1Setari"/>
      </w:pPr>
      <w:r>
        <w:t>10. Ética, integridade e originalidade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A submissão implica que o manuscrito é original, foi aprovado por todos os autores e não está simultaneamente em avaliação por outro periódico. A SETARI poderá empregar ferramentas de similaridade e verificações editoriais.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Plágio, fabricação ou falsificação de dados, manipulação enganosa de imagens, autoria imprópria e publicação redundante são incompatíveis com a política editorial;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Não será adotado percentual automático de similaridade como critério isolado de rejeição;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Pesquisas com seres humanos, animais ou dados sensíveis devem informar aprovação/dispensa ética e consentimento quando aplicável;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Conflitos financeiros, pessoais ou institucionais devem ser declarados;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Suspeitas de má conduta serão analisadas com confidencialidade, documentação e direito de resposta.</w:t>
      </w:r>
    </w:p>
    <w:p>
      <w:pPr>
        <w:pStyle w:val="H1Setari"/>
      </w:pPr>
      <w:r>
        <w:t>11. Uso de inteligência artificial generativa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Ferramentas de IA não podem ser listadas como autoras. Os autores permanecem integralmente responsáveis pela exatidão, originalidade, dados, código, imagens e referências.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Uso substantivo de IA na redação, geração de código, análise, síntese ou imagens deve ser declarado;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Conteúdo e referências produzidos com apoio de IA devem ser verificados pelos autores;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Pareceristas não devem inserir manuscritos confidenciais em serviços públicos de IA;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 decisão editorial e científica permanece humana.</w:t>
      </w:r>
    </w:p>
    <w:p>
      <w:pPr>
        <w:pStyle w:val="H1Setari"/>
      </w:pPr>
      <w:r>
        <w:t>12. Dados, software e reprodutibilidade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A SETARI incentiva o depósito de dados, código, scripts, modelos e materiais em repositórios confiáveis, preferencialmente com identificador persistente. Restrições de compartilhamento devem ser justificadas.</w:t>
      </w:r>
    </w:p>
    <w:p>
      <w:pPr>
        <w:pStyle w:val="H1Setari"/>
      </w:pPr>
      <w:r>
        <w:t>13. Processo de avaliação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Os manuscritos passam por triagem editorial e, quando aprovados, seguem para revisão por pares duplo-cega, normalmente com pelo menos dois pareceres independentes. A decisão final pertence ao Editor responsável.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Decisões possíveis: rejeição editorial, revisão maior, revisão menor, nova rodada, aceite ou aceite sujeito a correções editoriais;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Pareceres divergentes podem gerar consulta a terceiro avaliador;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Na revisão, os autores devem responder ponto a ponto aos comentários;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O arquivo de avaliação deve preservar o anonimato.</w:t>
      </w:r>
    </w:p>
    <w:p>
      <w:pPr>
        <w:pStyle w:val="H1Setari"/>
      </w:pPr>
      <w:r>
        <w:t>14. Preprints e trabalhos de congresso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Preprints e versões preliminares podem ser considerados quando declarados e citados. Trabalhos de congresso podem ser submetidos como artigo ampliado desde que apresentem contribuição substancial adicional e respeitem direitos autorais.</w:t>
      </w:r>
    </w:p>
    <w:p>
      <w:pPr>
        <w:pStyle w:val="H1Setari"/>
      </w:pPr>
      <w:r>
        <w:t>15. Correções, retratações e pós-publicação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Erros relevantes identificados após publicação poderão resultar em correção, expressão de preocupação ou retratação, sempre vinculada de forma transparente ao registro original.</w:t>
      </w:r>
    </w:p>
    <w:p>
      <w:pPr>
        <w:pStyle w:val="H1Setari"/>
      </w:pPr>
      <w:r>
        <w:t>16. Direitos autorais, acesso aberto e taxas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A SETARI será estruturada como periódico de acesso aberto. A licença definitiva e a política de APC/taxas devem ser informadas claramente antes da abertura das submissões. Esta versão 1.0 não estabelece cobrança de taxa.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Recomenda-se avaliar a adoção de licença CC BY 4.0, sujeita à decisão formal da entidade publicadora;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Nenhuma cobrança deve ser aplicada retroativamente a manuscritos submetidos sob política anterior.</w:t>
      </w:r>
    </w:p>
    <w:p>
      <w:pPr>
        <w:pStyle w:val="H1Setari"/>
      </w:pPr>
      <w:r>
        <w:t>17. Arquivos de submissão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A submissão deverá conter os arquivos necessários ao processo editorial.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Arquivo 1 - Manuscrito cego: sem nomes, afiliações, agradecimentos ou informações identificadoras;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Arquivo 2 - Folha de rosto: autores, ORCID, afiliações, autor correspondente e declarações administrativas;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Arquivo 3 - Figuras em alta resolução, quando solicitado;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Arquivo 4 - Material suplementar/dados, quando aplicável;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Em revisões: versão revisada e carta-resposta ponto a ponto.</w:t>
      </w:r>
    </w:p>
    <w:p>
      <w:pPr>
        <w:pStyle w:val="H1Setari"/>
      </w:pPr>
      <w:r>
        <w:t>18. Checklist de submissão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Antes de finalizar a submissão, confirme todos os requisitos formais e científicos.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Escopo e categoria corretos;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Limite de páginas respeitado;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Título, resumos e palavras-chave bilíngues;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Arquivo cego sem identificação;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Objetivo e contribuição claramente formulados;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Métodos detalhados e reproduzíveis;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Figuras/tabelas legíveis e citadas;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Referências numéricas e DOI quando disponível;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Declarações obrigatórias incluídas;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Aprovação de todos os autores e ausência de submissão simultânea.</w:t>
      </w:r>
    </w:p>
    <w:p>
      <w:pPr>
        <w:pStyle w:val="H1Setari"/>
      </w:pPr>
      <w:r>
        <w:t>19. Itens administrativos a confirmar antes do lançamento</w:t>
      </w:r>
    </w:p>
    <w:p>
      <w:pPr>
        <w:jc w:val="both"/>
      </w:pPr>
      <w:r>
        <w:rPr>
          <w:rFonts w:ascii="Times New Roman" w:hAnsi="Times New Roman"/>
          <w:i w:val="0"/>
          <w:sz w:val="19"/>
        </w:rPr>
        <w:t>Antes da abertura oficial das submissões, o Conselho Editorial deverá formalizar publisher/entidade responsável, ISSN/e-ISSN, periodicidade, domínio, DOI, licença, política de taxas, preservação digital e política de arquivamento.</w:t>
      </w:r>
    </w:p>
    <w:p>
      <w:pPr>
        <w:pStyle w:val="H1Setari"/>
      </w:pPr>
      <w:r>
        <w:t>20. Referenciais de boas práticas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Committee on Publication Ethics (COPE) - Core Practices and editorial integrity guidance.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Directory of Open Access Journals (DOAJ) - Principles of Transparency and Best Practice in Scholarly Publishing.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Crossref - DOI display and reference metadata guidance.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ORCID - researcher identification and journal workflow guidance.</w:t>
      </w:r>
    </w:p>
    <w:p>
      <w:pPr>
        <w:ind w:left="283" w:hanging="142"/>
      </w:pPr>
      <w:r>
        <w:rPr>
          <w:rFonts w:ascii="Arial" w:hAnsi="Arial"/>
          <w:b/>
          <w:color w:val="0B5D66"/>
          <w:sz w:val="17"/>
        </w:rPr>
        <w:t xml:space="preserve">• </w:t>
      </w:r>
      <w:r>
        <w:t>NISO CRediT - Contributor Role Taxonomy.</w:t>
      </w:r>
    </w:p>
    <w:p>
      <w:pPr>
        <w:pStyle w:val="GuideSetari"/>
        <w:ind w:left="85" w:right="85"/>
        <w:jc w:val="both"/>
        <w:shd w:fill="F6F8F8"/>
      </w:pPr>
      <w:r>
        <w:rPr>
          <w:b w:val="0"/>
        </w:rPr>
        <w:t>Antes do lançamento oficial, os itens administrativos mencionados na Seção 19 devem ser aprovados e publicados no site da SETARI.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66B"/>
        <w:sz w:val="14"/>
      </w:rPr>
      <w:t xml:space="preserve">SETARI  |  </w:t>
    </w:r>
    <w:r/>
  </w:p>
  <w:p>
    <w:pPr>
      <w:jc w:val="center"/>
    </w:pPr>
    <w:r>
      <w:rPr>
        <w:rFonts w:ascii="Arial" w:hAnsi="Arial"/>
        <w:sz w:val="14"/>
      </w:rPr>
      <w:t>Secretaria Editorial: revistasetari@gmail.com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1E2326"/>
        <w:sz w:val="16"/>
      </w:rPr>
      <w:t xml:space="preserve">SETARI  </w:t>
    </w:r>
    <w:r>
      <w:rPr>
        <w:rFonts w:ascii="Arial" w:hAnsi="Arial"/>
        <w:color w:val="5B666B"/>
        <w:sz w:val="14"/>
      </w:rPr>
      <w:t>Science, Engineering, Technology, Applied Research &amp; Innovation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  <w:jc w:val="both"/>
    </w:pPr>
    <w:rPr>
      <w:rFonts w:ascii="Times New Roman" w:hAnsi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etari">
    <w:name w:val="TitleSetari"/>
    <w:pPr>
      <w:spacing w:before="0" w:after="100"/>
    </w:pPr>
    <w:rPr>
      <w:rFonts w:ascii="Arial" w:hAnsi="Arial"/>
      <w:b/>
      <w:color w:val="0B5D66"/>
      <w:sz w:val="36"/>
    </w:rPr>
  </w:style>
  <w:style w:type="paragraph" w:customStyle="1" w:styleId="SubtitleSetari">
    <w:name w:val="SubtitleSetari"/>
    <w:pPr>
      <w:spacing w:before="0" w:after="160"/>
    </w:pPr>
    <w:rPr>
      <w:rFonts w:ascii="Arial" w:hAnsi="Arial"/>
      <w:b w:val="0"/>
      <w:color w:val="5B666B"/>
      <w:sz w:val="20"/>
    </w:rPr>
  </w:style>
  <w:style w:type="paragraph" w:customStyle="1" w:styleId="H1Setari">
    <w:name w:val="H1Setari"/>
    <w:pPr>
      <w:spacing w:before="160" w:after="80"/>
    </w:pPr>
    <w:rPr>
      <w:rFonts w:ascii="Arial" w:hAnsi="Arial"/>
      <w:b/>
      <w:color w:val="0B5D66"/>
      <w:sz w:val="24"/>
    </w:rPr>
  </w:style>
  <w:style w:type="paragraph" w:customStyle="1" w:styleId="H2Setari">
    <w:name w:val="H2Setari"/>
    <w:pPr>
      <w:spacing w:before="120" w:after="60"/>
    </w:pPr>
    <w:rPr>
      <w:rFonts w:ascii="Arial" w:hAnsi="Arial"/>
      <w:b/>
      <w:color w:val="1E2326"/>
      <w:sz w:val="21"/>
    </w:rPr>
  </w:style>
  <w:style w:type="paragraph" w:customStyle="1" w:styleId="GuideSetari">
    <w:name w:val="GuideSetari"/>
    <w:pPr>
      <w:spacing w:before="40" w:after="80"/>
    </w:pPr>
    <w:rPr>
      <w:rFonts w:ascii="Arial" w:hAnsi="Arial"/>
      <w:b w:val="0"/>
      <w:color w:val="5B666B"/>
      <w:sz w:val="16"/>
    </w:rPr>
  </w:style>
  <w:style w:type="paragraph" w:customStyle="1" w:styleId="CaptionSetari">
    <w:name w:val="CaptionSetari"/>
    <w:pPr>
      <w:spacing w:before="40" w:after="100"/>
    </w:pPr>
    <w:rPr>
      <w:rFonts w:ascii="Arial" w:hAnsi="Arial"/>
      <w:b/>
      <w:color w:val="1E2326"/>
      <w:sz w:val="15"/>
    </w:rPr>
  </w:style>
  <w:style w:type="paragraph" w:customStyle="1" w:styleId="SmallSetari">
    <w:name w:val="SmallSetari"/>
    <w:pPr>
      <w:spacing w:before="20" w:after="40"/>
    </w:pPr>
    <w:rPr>
      <w:rFonts w:ascii="Arial" w:hAnsi="Arial"/>
      <w:b w:val="0"/>
      <w:color w:val="5B666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SETARI Editorial Office</dc:creator>
  <cp:keywords/>
  <dc:description>Institutional SETARI document. Editorial contact: revistasetari@gmail.com</dc:description>
  <cp:lastModifiedBy>SETARI Editorial Office</cp:lastModifiedBy>
  <cp:revision>1</cp:revision>
  <dcterms:created xsi:type="dcterms:W3CDTF">2013-12-23T23:15:00Z</dcterms:created>
  <dcterms:modified xsi:type="dcterms:W3CDTF">2013-12-23T23:15:00Z</dcterms:modified>
  <cp:category/>
</cp:coreProperties>
</file>