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3E4B1" w14:textId="77777777" w:rsidR="00F475E0" w:rsidRPr="00F475E0" w:rsidRDefault="00F475E0">
      <w:pPr>
        <w:rPr>
          <w:b/>
        </w:rPr>
      </w:pPr>
      <w:r w:rsidRPr="00F475E0">
        <w:rPr>
          <w:b/>
        </w:rPr>
        <w:t>WONDERS - ( môpēt , Strong's H4159 )</w:t>
      </w:r>
    </w:p>
    <w:p w14:paraId="186DD64D" w14:textId="77777777" w:rsidR="00F475E0" w:rsidRDefault="00F475E0">
      <w:r w:rsidRPr="00F475E0">
        <w:rPr>
          <w:b/>
        </w:rPr>
        <w:t>Summary:</w:t>
      </w:r>
    </w:p>
    <w:p w14:paraId="5D3DFF69" w14:textId="77777777" w:rsidR="00F475E0" w:rsidRDefault="00F475E0">
      <w:r>
        <w:t>The Hebrew noun môpēt refers to a wonder, a miracle, or a portent—an extraordinary event that manifests divine power and commands human attention. In the Old Testament, it rarely refers to a mere marvel for entertainment; instead, it is a purposeful display of God's sovereign authority designed to instruct, warn, or validate His messengers. In Exodus 4:21, these "wonders" are the supernatural plagues and signs that Moses is authorized to perform before Pharaoh. They serve as divine credentials, demonstrating that Yahweh is the supreme Lord of creation and history, demanding obedience from the earthly monarch.</w:t>
      </w:r>
    </w:p>
    <w:p w14:paraId="6F7A8384" w14:textId="77777777" w:rsidR="00F475E0" w:rsidRDefault="00F475E0"/>
    <w:p w14:paraId="0A2EB7BC" w14:textId="77777777" w:rsidR="00F475E0" w:rsidRDefault="00F475E0">
      <w:r w:rsidRPr="00F475E0">
        <w:rPr>
          <w:b/>
        </w:rPr>
        <w:t>Full Study:</w:t>
      </w:r>
    </w:p>
    <w:p w14:paraId="0D73604A" w14:textId="77777777" w:rsidR="00F475E0" w:rsidRDefault="00F475E0"/>
    <w:p w14:paraId="574E474F" w14:textId="77777777" w:rsidR="00F475E0" w:rsidRPr="00F475E0" w:rsidRDefault="00F475E0">
      <w:pPr>
        <w:rPr>
          <w:b/>
        </w:rPr>
      </w:pPr>
      <w:r w:rsidRPr="00F475E0">
        <w:rPr>
          <w:b/>
        </w:rPr>
        <w:t xml:space="preserve"> 1. Word Picture / Background</w:t>
      </w:r>
    </w:p>
    <w:p w14:paraId="3F5568CA" w14:textId="77777777" w:rsidR="00F475E0" w:rsidRDefault="00F475E0">
      <w:r>
        <w:t>The exact etymology of môpēt is uncertain, but its historical usage consistently points to something conspicuous, striking, and out of the ordinary. It carries the imagery of a boundary-breaking event—something that disrupts the natural order to arrest human attention. Unlike ordinary events, a môpēt is a visual sermon. It acts as a beacon or a flashing warning light in the physical world, signaling a critical message from the spiritual realm. In the ancient Near East, where rulers and nations looked to omens and magic, God used môpētîm (plural) to eclipse the pagan magicians and show that the forces of nature are entirely under His command.</w:t>
      </w:r>
    </w:p>
    <w:p w14:paraId="4052C5D4" w14:textId="77777777" w:rsidR="00F475E0" w:rsidRDefault="00F475E0"/>
    <w:p w14:paraId="2F8A0A26" w14:textId="77777777" w:rsidR="00F475E0" w:rsidRPr="00F475E0" w:rsidRDefault="00F475E0">
      <w:pPr>
        <w:rPr>
          <w:b/>
        </w:rPr>
      </w:pPr>
      <w:r w:rsidRPr="00F475E0">
        <w:rPr>
          <w:b/>
        </w:rPr>
        <w:t xml:space="preserve"> 2. Meaning / Lexical Definition</w:t>
      </w:r>
    </w:p>
    <w:p w14:paraId="619603A6" w14:textId="77777777" w:rsidR="00F475E0" w:rsidRDefault="00F475E0">
      <w:r>
        <w:t>The term môpēt has three primary nuances depending on its context:</w:t>
      </w:r>
    </w:p>
    <w:p w14:paraId="67210CD8" w14:textId="77777777" w:rsidR="00F475E0" w:rsidRDefault="00F475E0">
      <w:r>
        <w:t>• An Act of Divine Power (Miracle): A supernatural deed that alters or transcends the natural order, such as the plagues of Egypt or the splitting of the sea.</w:t>
      </w:r>
    </w:p>
    <w:p w14:paraId="06C6684B" w14:textId="77777777" w:rsidR="00F475E0" w:rsidRDefault="00F475E0">
      <w:r>
        <w:t>• A Portent or Omen: A sign that foreshadows or guarantees a future event, serving as a warning of coming judgment or blessing.</w:t>
      </w:r>
    </w:p>
    <w:p w14:paraId="29404E09" w14:textId="77777777" w:rsidR="00F475E0" w:rsidRDefault="00F475E0">
      <w:r>
        <w:t>• A Symbol or Sign-Post: A person or object that stands as a living representation of a divine message (for example, when a prophet's symbolic actions are described as a sign to the people).</w:t>
      </w:r>
    </w:p>
    <w:p w14:paraId="18B0F66D" w14:textId="77777777" w:rsidR="00F475E0" w:rsidRDefault="00F475E0"/>
    <w:p w14:paraId="34D42CD0" w14:textId="77777777" w:rsidR="00F475E0" w:rsidRDefault="00F475E0">
      <w:r>
        <w:t xml:space="preserve">While the closely related word ’ôt (sign, H226) emphasizes the cognitive meaning or the truth to which a miracle points, môpēt emphasizes the dramatic, awe-inspiring, and mind-boggling nature of the display itself. </w:t>
      </w:r>
    </w:p>
    <w:p w14:paraId="761E5BC2" w14:textId="77777777" w:rsidR="00F475E0" w:rsidRDefault="00F475E0"/>
    <w:p w14:paraId="44705E56" w14:textId="77777777" w:rsidR="00F475E0" w:rsidRPr="00F475E0" w:rsidRDefault="00F475E0">
      <w:pPr>
        <w:rPr>
          <w:b/>
        </w:rPr>
      </w:pPr>
      <w:r w:rsidRPr="00F475E0">
        <w:rPr>
          <w:b/>
        </w:rPr>
        <w:t xml:space="preserve"> 3. Usage and Word Pictures</w:t>
      </w:r>
    </w:p>
    <w:p w14:paraId="73C3AE49" w14:textId="77777777" w:rsidR="00F475E0" w:rsidRDefault="00F475E0">
      <w:r>
        <w:t xml:space="preserve">In Scripture, môpēt frequently pairs with ’ôt to form the famous phrase "signs and wonders" (’ōtôt ûmōpētîm). This pairing captures both the intellect and the emotions: the "sign" instructs the mind, while the "wonder" stirs the soul with holy fear. </w:t>
      </w:r>
    </w:p>
    <w:p w14:paraId="2BBFF98C" w14:textId="77777777" w:rsidR="00F475E0" w:rsidRDefault="00F475E0"/>
    <w:p w14:paraId="4D42AA06" w14:textId="77777777" w:rsidR="00F475E0" w:rsidRDefault="00F475E0">
      <w:r>
        <w:t>The word is used to describe the dramatic confrontations in Egypt where Moses’ staff turns into a serpent, the Nile turns to blood, and the darkness blankets the land. These were not random acts of power; they were targeted môpētîm directed against the false deities of Egypt. Every wonder was a direct blow to a specific Egyptian god, proving that Yahweh alone reigns.</w:t>
      </w:r>
    </w:p>
    <w:p w14:paraId="30DBA630" w14:textId="77777777" w:rsidR="00F475E0" w:rsidRDefault="00F475E0"/>
    <w:p w14:paraId="48A08603" w14:textId="77777777" w:rsidR="00F475E0" w:rsidRPr="00F475E0" w:rsidRDefault="00F475E0">
      <w:pPr>
        <w:rPr>
          <w:b/>
        </w:rPr>
      </w:pPr>
      <w:r w:rsidRPr="00F475E0">
        <w:rPr>
          <w:b/>
        </w:rPr>
        <w:t xml:space="preserve"> 4. Theological Implications</w:t>
      </w:r>
    </w:p>
    <w:p w14:paraId="484EFAF5" w14:textId="77777777" w:rsidR="00F475E0" w:rsidRDefault="00F475E0">
      <w:r>
        <w:t xml:space="preserve">The theology of môpēt centers on God’s self-revelation. God does not perform wonders merely to impress, but to make Himself known. Through these mighty acts, both Israel and the nations learn that Yahweh is the sovereign Creator. </w:t>
      </w:r>
    </w:p>
    <w:p w14:paraId="727066A5" w14:textId="77777777" w:rsidR="00F475E0" w:rsidRDefault="00F475E0"/>
    <w:p w14:paraId="1BBEA002" w14:textId="77777777" w:rsidR="00F475E0" w:rsidRDefault="00F475E0">
      <w:r>
        <w:t>Furthermore, the biblical presentation of wonders highlights the relationship between miracles and human responsibility. In Exodus 4:21, God notes that despite the wonders, He will harden Pharaoh’s heart. This reveals a profound theological truth: miracles do not automatically produce saving faith. To a heart surrendered to God, a wonder is a source of worship and comfort; to a rebellious heart, the very same wonder becomes an occasion for deeper hardening and judgment.</w:t>
      </w:r>
    </w:p>
    <w:p w14:paraId="42627F03" w14:textId="77777777" w:rsidR="00F475E0" w:rsidRDefault="00F475E0"/>
    <w:p w14:paraId="1FE0B50E" w14:textId="77777777" w:rsidR="00F475E0" w:rsidRPr="00F475E0" w:rsidRDefault="00F475E0">
      <w:pPr>
        <w:rPr>
          <w:b/>
        </w:rPr>
      </w:pPr>
      <w:r w:rsidRPr="00F475E0">
        <w:rPr>
          <w:b/>
        </w:rPr>
        <w:t xml:space="preserve"> 5. Contextual Nuance in the Passage</w:t>
      </w:r>
    </w:p>
    <w:p w14:paraId="199A61D5" w14:textId="77777777" w:rsidR="00F475E0" w:rsidRDefault="00F475E0">
      <w:r>
        <w:t xml:space="preserve">In Exodus 4:21, Moses is preparing to return to Egypt after his encounter at the burning bush. God tells him, "When you go back to Egypt, see that you do all those wonders before Pharaoh which I have put in your hand." </w:t>
      </w:r>
    </w:p>
    <w:p w14:paraId="0EAF9AF5" w14:textId="77777777" w:rsidR="00F475E0" w:rsidRDefault="00F475E0"/>
    <w:p w14:paraId="6BAA04BB" w14:textId="77777777" w:rsidR="00F475E0" w:rsidRDefault="00F475E0">
      <w:r>
        <w:t>The phrase "which I have put in your hand" indicates that the power behind these wonders does not belong to Moses; it is delegated divine authority. The "wonders" are already dynamic realities waiting to be unleashed. Moses is not to negotiate with Pharaoh on human terms; he is to present the undeniable credentials of the Almighty. The contextual tension is immediate: the wonders will be magnificent and undeniable, yet Pharaoh will resist them. This prepares Moses—and the reader—to understand that the redemption of Israel will require a mighty hand and an outstretched arm.</w:t>
      </w:r>
    </w:p>
    <w:p w14:paraId="15159317" w14:textId="77777777" w:rsidR="00F475E0" w:rsidRDefault="00F475E0"/>
    <w:p w14:paraId="013B73CF" w14:textId="77777777" w:rsidR="00F475E0" w:rsidRPr="00F475E0" w:rsidRDefault="00F475E0">
      <w:pPr>
        <w:rPr>
          <w:b/>
        </w:rPr>
      </w:pPr>
      <w:r w:rsidRPr="00F475E0">
        <w:rPr>
          <w:b/>
        </w:rPr>
        <w:t xml:space="preserve"> 6. Key Uses in Other Verses (NKJV)</w:t>
      </w:r>
    </w:p>
    <w:p w14:paraId="203D5DE7" w14:textId="77777777" w:rsidR="00F475E0" w:rsidRDefault="00F475E0">
      <w:r>
        <w:t>• Deuteronomy 6:22: "and the LORD showed signs and wonders, great and severe, against Egypt, against Pharaoh, and against all his household, before our eyes..."</w:t>
      </w:r>
    </w:p>
    <w:p w14:paraId="229DFD9E" w14:textId="77777777" w:rsidR="00F475E0" w:rsidRDefault="00F475E0">
      <w:r>
        <w:t>• 1 Kings 13:3: "And he gave a sign the same day, saying, 'This is the sign which the LORD has spoken: Surely the altar shall be split apart, and the ashes on it shall be poured out.'"</w:t>
      </w:r>
    </w:p>
    <w:p w14:paraId="06904056" w14:textId="77777777" w:rsidR="00F475E0" w:rsidRDefault="00F475E0">
      <w:r>
        <w:t>• Psalm 105:27: "They performed His signs among them, / And wonders in the land of Ham."</w:t>
      </w:r>
    </w:p>
    <w:p w14:paraId="26AD1D58" w14:textId="77777777" w:rsidR="00F475E0" w:rsidRDefault="00F475E0">
      <w:r>
        <w:t>• Joel 2:30: "And I will show wonders in the heavens and in the earth: / Blood and fire and pillars of smoke."</w:t>
      </w:r>
    </w:p>
    <w:p w14:paraId="1E85B54F" w14:textId="77777777" w:rsidR="00F475E0" w:rsidRDefault="00F475E0"/>
    <w:p w14:paraId="4FDC519B" w14:textId="77777777" w:rsidR="00F475E0" w:rsidRPr="00F475E0" w:rsidRDefault="00F475E0">
      <w:pPr>
        <w:rPr>
          <w:b/>
        </w:rPr>
      </w:pPr>
      <w:r w:rsidRPr="00F475E0">
        <w:rPr>
          <w:b/>
        </w:rPr>
        <w:t xml:space="preserve"> 7. Other Relevant Insights</w:t>
      </w:r>
    </w:p>
    <w:p w14:paraId="4F445F89" w14:textId="77777777" w:rsidR="00F475E0" w:rsidRDefault="00F475E0">
      <w:r>
        <w:t>In the New Testament, the Greek equivalent of môpēt is teras (wonder), which is almost exclusively used alongside semeion (sign). Just as the Old Testament môpētîm validated Moses as God's deliverer of the old covenant, the "signs and wonders" performed by Jesus of Nazareth (Acts 2:22) and the Apostles (Hebrews 2:4) validated the arrival of the New Covenant. They demonstrated that the same sovereign God who delivered Israel from the physical bondage of Egypt was now actively delivering humanity from the spiritual bondage of sin and death.</w:t>
      </w:r>
    </w:p>
    <w:p w14:paraId="03ACB8A4" w14:textId="77777777" w:rsidR="00F475E0" w:rsidRDefault="00F475E0"/>
    <w:p w14:paraId="2C4DC824" w14:textId="77777777" w:rsidR="00F475E0" w:rsidRPr="00F475E0" w:rsidRDefault="00F475E0">
      <w:pPr>
        <w:rPr>
          <w:b/>
        </w:rPr>
      </w:pPr>
      <w:r w:rsidRPr="00F475E0">
        <w:rPr>
          <w:b/>
        </w:rPr>
        <w:t xml:space="preserve"> 8. References</w:t>
      </w:r>
    </w:p>
    <w:p w14:paraId="132EDD83" w14:textId="77777777" w:rsidR="00F475E0" w:rsidRDefault="00F475E0">
      <w:r>
        <w:t>• Brown, Driver, Briggs Hebrew and English Lexicon</w:t>
      </w:r>
    </w:p>
    <w:p w14:paraId="33E2511B" w14:textId="77777777" w:rsidR="00F475E0" w:rsidRDefault="00F475E0">
      <w:r>
        <w:t>• Theological Wordbook of the Old Testament</w:t>
      </w:r>
    </w:p>
    <w:p w14:paraId="30DCFD79" w14:textId="77777777" w:rsidR="00F475E0" w:rsidRDefault="00F475E0">
      <w:r>
        <w:t>• New International Dictionary of Old Testament Theology and Exegesis</w:t>
      </w:r>
    </w:p>
    <w:p w14:paraId="54E36453" w14:textId="77777777" w:rsidR="00F475E0" w:rsidRDefault="00F475E0">
      <w:r>
        <w:t>• Theological Dictionary of the Old Testament</w:t>
      </w:r>
    </w:p>
    <w:p w14:paraId="5FFD3AE1" w14:textId="328CADA7" w:rsidR="004C5552" w:rsidRDefault="00F475E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75E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0BFC"/>
  <w15:chartTrackingRefBased/>
  <w15:docId w15:val="{7318DEFA-B12B-4F64-9229-CBE738A0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E0"/>
    <w:rPr>
      <w:rFonts w:eastAsiaTheme="majorEastAsia" w:cstheme="majorBidi"/>
      <w:color w:val="272727" w:themeColor="text1" w:themeTint="D8"/>
    </w:rPr>
  </w:style>
  <w:style w:type="paragraph" w:styleId="Title">
    <w:name w:val="Title"/>
    <w:basedOn w:val="Normal"/>
    <w:next w:val="Normal"/>
    <w:link w:val="TitleChar"/>
    <w:uiPriority w:val="10"/>
    <w:qFormat/>
    <w:rsid w:val="00F47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E0"/>
    <w:pPr>
      <w:spacing w:before="160"/>
      <w:jc w:val="center"/>
    </w:pPr>
    <w:rPr>
      <w:i/>
      <w:iCs/>
      <w:color w:val="404040" w:themeColor="text1" w:themeTint="BF"/>
    </w:rPr>
  </w:style>
  <w:style w:type="character" w:customStyle="1" w:styleId="QuoteChar">
    <w:name w:val="Quote Char"/>
    <w:basedOn w:val="DefaultParagraphFont"/>
    <w:link w:val="Quote"/>
    <w:uiPriority w:val="29"/>
    <w:rsid w:val="00F475E0"/>
    <w:rPr>
      <w:i/>
      <w:iCs/>
      <w:color w:val="404040" w:themeColor="text1" w:themeTint="BF"/>
    </w:rPr>
  </w:style>
  <w:style w:type="paragraph" w:styleId="ListParagraph">
    <w:name w:val="List Paragraph"/>
    <w:basedOn w:val="Normal"/>
    <w:uiPriority w:val="34"/>
    <w:qFormat/>
    <w:rsid w:val="00F475E0"/>
    <w:pPr>
      <w:ind w:left="720"/>
      <w:contextualSpacing/>
    </w:pPr>
  </w:style>
  <w:style w:type="character" w:styleId="IntenseEmphasis">
    <w:name w:val="Intense Emphasis"/>
    <w:basedOn w:val="DefaultParagraphFont"/>
    <w:uiPriority w:val="21"/>
    <w:qFormat/>
    <w:rsid w:val="00F475E0"/>
    <w:rPr>
      <w:i/>
      <w:iCs/>
      <w:color w:val="2E74B5" w:themeColor="accent1" w:themeShade="BF"/>
    </w:rPr>
  </w:style>
  <w:style w:type="paragraph" w:styleId="IntenseQuote">
    <w:name w:val="Intense Quote"/>
    <w:basedOn w:val="Normal"/>
    <w:next w:val="Normal"/>
    <w:link w:val="IntenseQuoteChar"/>
    <w:uiPriority w:val="30"/>
    <w:qFormat/>
    <w:rsid w:val="00F475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5E0"/>
    <w:rPr>
      <w:i/>
      <w:iCs/>
      <w:color w:val="2E74B5" w:themeColor="accent1" w:themeShade="BF"/>
    </w:rPr>
  </w:style>
  <w:style w:type="character" w:styleId="IntenseReference">
    <w:name w:val="Intense Reference"/>
    <w:basedOn w:val="DefaultParagraphFont"/>
    <w:uiPriority w:val="32"/>
    <w:qFormat/>
    <w:rsid w:val="00F475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