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0109" w14:textId="77777777" w:rsidR="00457E7A" w:rsidRPr="00457E7A" w:rsidRDefault="00457E7A">
      <w:pPr>
        <w:rPr>
          <w:b/>
        </w:rPr>
      </w:pPr>
      <w:r w:rsidRPr="00457E7A">
        <w:rPr>
          <w:b/>
        </w:rPr>
        <w:t>SASH - (abnet, Strong's H73)</w:t>
      </w:r>
    </w:p>
    <w:p w14:paraId="0858D48D" w14:textId="77777777" w:rsidR="00457E7A" w:rsidRDefault="00457E7A">
      <w:r w:rsidRPr="00457E7A">
        <w:rPr>
          <w:b/>
        </w:rPr>
        <w:t>Summary:</w:t>
      </w:r>
    </w:p>
    <w:p w14:paraId="11BDD674" w14:textId="77777777" w:rsidR="00457E7A" w:rsidRDefault="00457E7A">
      <w:r>
        <w:t>The Hebrew word abnet refers to a ceremonial sash, girdle, or waistband worn almost exclusively by the high priest and ordinary priests under the Mosaic covenant. In Exodus 39:29, this sash is part of the holy garments made for Aaron and his sons, representing dignity, beauty, and readiness for service. Intricately woven of fine linen and colorful threads, the sash served both the practical purpose of binding the priestly garments for active duty and the symbolic purpose of marking the priests as consecrated servants of Yahweh.</w:t>
      </w:r>
    </w:p>
    <w:p w14:paraId="2E85602E" w14:textId="77777777" w:rsidR="00457E7A" w:rsidRDefault="00457E7A"/>
    <w:p w14:paraId="7B4E9918" w14:textId="77777777" w:rsidR="00457E7A" w:rsidRDefault="00457E7A">
      <w:r w:rsidRPr="00457E7A">
        <w:rPr>
          <w:b/>
        </w:rPr>
        <w:t>Full Study:</w:t>
      </w:r>
    </w:p>
    <w:p w14:paraId="63EE79DD" w14:textId="77777777" w:rsidR="00457E7A" w:rsidRDefault="00457E7A"/>
    <w:p w14:paraId="1CF835D7" w14:textId="77777777" w:rsidR="00457E7A" w:rsidRPr="00457E7A" w:rsidRDefault="00457E7A">
      <w:pPr>
        <w:rPr>
          <w:b/>
        </w:rPr>
      </w:pPr>
      <w:r w:rsidRPr="00457E7A">
        <w:rPr>
          <w:b/>
        </w:rPr>
        <w:t xml:space="preserve"> 1. Word Picture / Background</w:t>
      </w:r>
    </w:p>
    <w:p w14:paraId="7B100107" w14:textId="77777777" w:rsidR="00457E7A" w:rsidRDefault="00457E7A">
      <w:r>
        <w:t>The exact origin of abnet is historically connected to non-Semitic loanwords, likely derived from an Egyptian root (bnd, meaning to bind or wrap) or an Old Persian equivalent. The linguistic background highlights a wrapping or binding band. In the ancient Near East, a sash or girdle was an essential accessory. Loose, flowing robes made physical labor, travel, or warfare difficult. To gird oneself with a sash was a deliberate action of preparation—tucking in the hem of the tunic to allow free movement. In the tabernacle, this common functional item was elevated into a holy instrument. Rather than a simple leather strap or utilitarian cord, the priestly abnet was a beautifully designed sash that transformed the act of girding into a display of divine glory and beauty.</w:t>
      </w:r>
    </w:p>
    <w:p w14:paraId="3270EC1F" w14:textId="77777777" w:rsidR="00457E7A" w:rsidRDefault="00457E7A"/>
    <w:p w14:paraId="12E6ABC1" w14:textId="77777777" w:rsidR="00457E7A" w:rsidRPr="00457E7A" w:rsidRDefault="00457E7A">
      <w:pPr>
        <w:rPr>
          <w:b/>
        </w:rPr>
      </w:pPr>
      <w:r w:rsidRPr="00457E7A">
        <w:rPr>
          <w:b/>
        </w:rPr>
        <w:t xml:space="preserve"> 2. Meaning / Lexical Definition</w:t>
      </w:r>
    </w:p>
    <w:p w14:paraId="2306348C" w14:textId="77777777" w:rsidR="00457E7A" w:rsidRDefault="00457E7A">
      <w:r>
        <w:t>The noun abnet designates a sash, belt, or band. It is a highly specialized term in the Old Testament, used specifically for the sash worn by priests (Exodus 28:4; Leviticus 8:7) and once for the robe-sash of a high royal official (Isaiah 22:21). It is semantically distinct from other Hebrew words translated as belt or girdle:</w:t>
      </w:r>
    </w:p>
    <w:p w14:paraId="68EB7BEA" w14:textId="77777777" w:rsidR="00457E7A" w:rsidRDefault="00457E7A">
      <w:r>
        <w:t>• Ezor refers to a waist-cloth or leather belt worn by common people, soldiers, or prophets (such as Elijah).</w:t>
      </w:r>
    </w:p>
    <w:p w14:paraId="1A3A3208" w14:textId="77777777" w:rsidR="00457E7A" w:rsidRDefault="00457E7A">
      <w:r>
        <w:t>• Hagor refers to a belt used to secure a sword or military armor.</w:t>
      </w:r>
    </w:p>
    <w:p w14:paraId="7DAAF38C" w14:textId="77777777" w:rsidR="00457E7A" w:rsidRDefault="00457E7A">
      <w:r>
        <w:t>• Abnet, by contrast, carries a distinct sacred, ritual, or governmental connotation. It represents consecrated authority and holy service.</w:t>
      </w:r>
    </w:p>
    <w:p w14:paraId="2E4C3CF1" w14:textId="77777777" w:rsidR="00457E7A" w:rsidRDefault="00457E7A"/>
    <w:p w14:paraId="248BDDF6" w14:textId="77777777" w:rsidR="00457E7A" w:rsidRPr="00457E7A" w:rsidRDefault="00457E7A">
      <w:pPr>
        <w:rPr>
          <w:b/>
        </w:rPr>
      </w:pPr>
      <w:r w:rsidRPr="00457E7A">
        <w:rPr>
          <w:b/>
        </w:rPr>
        <w:t xml:space="preserve"> 3. Usage and Word Pictures</w:t>
      </w:r>
    </w:p>
    <w:p w14:paraId="32ACB56C" w14:textId="77777777" w:rsidR="00457E7A" w:rsidRDefault="00457E7A">
      <w:r>
        <w:t xml:space="preserve">The term abnet occurs nine times in the Hebrew Bible, heavily clustered in the instructions for the tabernacle (Exodus 28, 29, 39) and the sacrificial ceremonies (Leviticus 8, 16). </w:t>
      </w:r>
    </w:p>
    <w:p w14:paraId="5BB07F33" w14:textId="77777777" w:rsidR="00457E7A" w:rsidRDefault="00457E7A">
      <w:r>
        <w:t>• The Servant's Girdle: The sash represents bound service. By tying the sash around his waist, the priest became a literal bound servant of God, restricted in his own movement to perform only the tasks prescribed by the Lord.</w:t>
      </w:r>
    </w:p>
    <w:p w14:paraId="1DEF40AB" w14:textId="77777777" w:rsidR="00457E7A" w:rsidRDefault="00457E7A">
      <w:r>
        <w:t>• The Humility of Atonement: On the Day of Atonement (Leviticus 16:4), the high priest stripped away his glorious, multi-colored garments and put on plain, white linen garments, including a plain linen abnet. This shift in attire illustrated that during the supreme moment of national confession and sacrifice, the priest stood before God in absolute purity and humility, stripped of external human splendor.</w:t>
      </w:r>
    </w:p>
    <w:p w14:paraId="0F85F7B3" w14:textId="77777777" w:rsidR="00457E7A" w:rsidRDefault="00457E7A"/>
    <w:p w14:paraId="38C12E54" w14:textId="77777777" w:rsidR="00457E7A" w:rsidRPr="00457E7A" w:rsidRDefault="00457E7A">
      <w:pPr>
        <w:rPr>
          <w:b/>
        </w:rPr>
      </w:pPr>
      <w:r w:rsidRPr="00457E7A">
        <w:rPr>
          <w:b/>
        </w:rPr>
        <w:t xml:space="preserve"> 4. Theological Implications</w:t>
      </w:r>
    </w:p>
    <w:p w14:paraId="36FDAC60" w14:textId="77777777" w:rsidR="00457E7A" w:rsidRDefault="00457E7A">
      <w:r>
        <w:t>The priestly sash carries profound theological weight:</w:t>
      </w:r>
    </w:p>
    <w:p w14:paraId="70E32360" w14:textId="77777777" w:rsidR="00457E7A" w:rsidRDefault="00457E7A">
      <w:r>
        <w:t>• The Thread of the Sanctuary: The colors of the sash in Exodus 39:29—blue, purple, and scarlet—perfectly match the colors of the Tabernacle curtains and the veil. This color coordination signifies that the priest is a walking extension of the Tabernacle itself. He carries the holiness of the sanctuary on his very person as he ministers.</w:t>
      </w:r>
    </w:p>
    <w:p w14:paraId="434780A0" w14:textId="77777777" w:rsidR="00457E7A" w:rsidRDefault="00457E7A">
      <w:r>
        <w:t>• Consecration and Ready Service: To be girded is to be ready. The theological implication is that the worship of Yahweh requires active readiness, diligence, and order. The priest does not lounge in the presence of God; he stands girded, prepared to carry out the holy work of mediation.</w:t>
      </w:r>
    </w:p>
    <w:p w14:paraId="72728CE1" w14:textId="77777777" w:rsidR="00457E7A" w:rsidRDefault="00457E7A">
      <w:r>
        <w:t>• Christological Fulfilment: Jesus Christ fulfills the imagery of the abnet. In the Upper Room, He girded Himself with a towel to wash the disciples' feet, displaying the ultimate heart of the priestly servant (John 13:4-5). In His glorified state in Revelation 1:13, He is seen walking among the golden lampstands, "girded about the chest with a golden band," combining the royal and priestly imagery of the Old Testament abnet into His eternal, exalted office.</w:t>
      </w:r>
    </w:p>
    <w:p w14:paraId="48357D9D" w14:textId="77777777" w:rsidR="00457E7A" w:rsidRDefault="00457E7A"/>
    <w:p w14:paraId="4EED938E" w14:textId="77777777" w:rsidR="00457E7A" w:rsidRPr="00457E7A" w:rsidRDefault="00457E7A">
      <w:pPr>
        <w:rPr>
          <w:b/>
        </w:rPr>
      </w:pPr>
      <w:r w:rsidRPr="00457E7A">
        <w:rPr>
          <w:b/>
        </w:rPr>
        <w:t xml:space="preserve"> 5. Contextual Nuance in the Passage</w:t>
      </w:r>
    </w:p>
    <w:p w14:paraId="41675EBC" w14:textId="77777777" w:rsidR="00457E7A" w:rsidRDefault="00457E7A">
      <w:r>
        <w:t xml:space="preserve">In Exodus 39:29, the craftsmanship of the sash is finalized. The text stresses that it was made of "fine woven linen with blue, purple, and scarlet thread, and needlework, as the LORD had commanded Moses." </w:t>
      </w:r>
    </w:p>
    <w:p w14:paraId="5935F15F" w14:textId="77777777" w:rsidR="00457E7A" w:rsidRDefault="00457E7A">
      <w:r>
        <w:t>• The phrase "needlework" refers to skilled embroidery. The sash was not merely dyed; it was intricately embroidered, showing that even the belt—often hidden or considered secondary—was crafted with the highest level of artistic devotion.</w:t>
      </w:r>
    </w:p>
    <w:p w14:paraId="04DBC62B" w14:textId="77777777" w:rsidR="00457E7A" w:rsidRDefault="00457E7A">
      <w:r>
        <w:t>• The repetition of "as the LORD had commanded Moses" throughout Exodus 39 highlights complete obedience. The precise design of the sash was not left to human whim. God cares about the details of how His servants approach Him, indicating that true worship is defined by divine revelation rather than human innovation.</w:t>
      </w:r>
    </w:p>
    <w:p w14:paraId="15816946" w14:textId="77777777" w:rsidR="00457E7A" w:rsidRDefault="00457E7A"/>
    <w:p w14:paraId="27A2F98B" w14:textId="77777777" w:rsidR="00457E7A" w:rsidRPr="00457E7A" w:rsidRDefault="00457E7A">
      <w:pPr>
        <w:rPr>
          <w:b/>
        </w:rPr>
      </w:pPr>
      <w:r w:rsidRPr="00457E7A">
        <w:rPr>
          <w:b/>
        </w:rPr>
        <w:t xml:space="preserve"> 6. Key Uses in Other Verses (NKJV)</w:t>
      </w:r>
    </w:p>
    <w:p w14:paraId="28FDE514" w14:textId="77777777" w:rsidR="00457E7A" w:rsidRDefault="00457E7A">
      <w:r>
        <w:t>• Exodus 28:4 - "And these are the garments which they shall make: a breastplate, an ephod, a robe, a skillfully woven tunic, a turban, and a sash."</w:t>
      </w:r>
    </w:p>
    <w:p w14:paraId="06C0E8D1" w14:textId="77777777" w:rsidR="00457E7A" w:rsidRDefault="00457E7A">
      <w:r>
        <w:t>• Exodus 28:39 - "You shall skillfully weave the tunic of fine linen thread, you shall make the turban of fine linen, and you shall make the sash of needlework."</w:t>
      </w:r>
    </w:p>
    <w:p w14:paraId="51060D73" w14:textId="77777777" w:rsidR="00457E7A" w:rsidRDefault="00457E7A">
      <w:r>
        <w:t>• Leviticus 8:7 - "And he put the tunic on him, girded him with the sash, clothed him with the robe, and put the ephod on him."</w:t>
      </w:r>
    </w:p>
    <w:p w14:paraId="33F99B8A" w14:textId="77777777" w:rsidR="00457E7A" w:rsidRDefault="00457E7A">
      <w:r>
        <w:t>• Leviticus 16:4 - "He shall put the holy linen tunic and the linen trousers on his body; he shall be girded with a linen sash, and with the linen turban he shall be attired."</w:t>
      </w:r>
    </w:p>
    <w:p w14:paraId="30127F3E" w14:textId="77777777" w:rsidR="00457E7A" w:rsidRDefault="00457E7A">
      <w:r>
        <w:t>• Isaiah 22:21 - "I will clothe him with your robe and strengthen him with your sash; I will commit your responsibility into his hand."</w:t>
      </w:r>
    </w:p>
    <w:p w14:paraId="5FDE0DF3" w14:textId="77777777" w:rsidR="00457E7A" w:rsidRDefault="00457E7A"/>
    <w:p w14:paraId="38A923E7" w14:textId="77777777" w:rsidR="00457E7A" w:rsidRPr="00457E7A" w:rsidRDefault="00457E7A">
      <w:pPr>
        <w:rPr>
          <w:b/>
        </w:rPr>
      </w:pPr>
      <w:r w:rsidRPr="00457E7A">
        <w:rPr>
          <w:b/>
        </w:rPr>
        <w:t xml:space="preserve"> 7. Other Relevant Insights</w:t>
      </w:r>
    </w:p>
    <w:p w14:paraId="0867C81B" w14:textId="77777777" w:rsidR="00457E7A" w:rsidRDefault="00457E7A">
      <w:r>
        <w:t>• The Length and Wear of the Sash: Historical descriptions from early Jewish sources, including the historian Josephus, suggest that the priestly sash was exceptionally long—sometimes up to thirty cubits (about 45 feet). It was wrapped multiple times around the waist. During active sacrifice, the long ends of the sash were thrown over the shoulder so they would not drag on the ground or interfere with the priest's duties.</w:t>
      </w:r>
    </w:p>
    <w:p w14:paraId="5389D4B0" w14:textId="77777777" w:rsidR="00457E7A" w:rsidRDefault="00457E7A">
      <w:r>
        <w:t>• The Spiritual Armor: The concept of the priestly sash transitions into the New Testament armor of God. In Ephesians 6:14, believers are told to stand, "having girded your waist with truth." Just as the priest's abnet held his garments together and prepared him for temple service, the truth of God holds the believer's life together, preparing them for spiritual battle.</w:t>
      </w:r>
    </w:p>
    <w:p w14:paraId="4E3A3CDF" w14:textId="77777777" w:rsidR="00457E7A" w:rsidRDefault="00457E7A"/>
    <w:p w14:paraId="08415F8D" w14:textId="77777777" w:rsidR="00457E7A" w:rsidRPr="00457E7A" w:rsidRDefault="00457E7A">
      <w:pPr>
        <w:rPr>
          <w:b/>
        </w:rPr>
      </w:pPr>
      <w:r w:rsidRPr="00457E7A">
        <w:rPr>
          <w:b/>
        </w:rPr>
        <w:t xml:space="preserve"> 8. References</w:t>
      </w:r>
    </w:p>
    <w:p w14:paraId="1AF024BF" w14:textId="77777777" w:rsidR="00457E7A" w:rsidRDefault="00457E7A">
      <w:r>
        <w:t>• Brown-Driver-Briggs Hebrew and English Lexicon</w:t>
      </w:r>
    </w:p>
    <w:p w14:paraId="69829230" w14:textId="77777777" w:rsidR="00457E7A" w:rsidRDefault="00457E7A">
      <w:r>
        <w:t>• Theological Wordbook of the Old Testament</w:t>
      </w:r>
    </w:p>
    <w:p w14:paraId="0D75C2B5" w14:textId="77777777" w:rsidR="00457E7A" w:rsidRDefault="00457E7A">
      <w:r>
        <w:t>• Strong's Exhaustive Concordance of the Bible</w:t>
      </w:r>
    </w:p>
    <w:p w14:paraId="202FF1E3" w14:textId="77777777" w:rsidR="00457E7A" w:rsidRDefault="00457E7A">
      <w:r>
        <w:t>• Hebrew-Aramaic Lexicon of the Old Testament (HALOT)</w:t>
      </w:r>
    </w:p>
    <w:p w14:paraId="6C5D5420" w14:textId="6A5F4889" w:rsidR="004C5552" w:rsidRDefault="00457E7A">
      <w:r>
        <w:t>• Antiquities of the Jews by Flavius Josephus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7E7A"/>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596C"/>
  <w15:chartTrackingRefBased/>
  <w15:docId w15:val="{568732FF-A173-4563-9FF8-DA1A7D95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7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7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E7A"/>
    <w:rPr>
      <w:rFonts w:eastAsiaTheme="majorEastAsia" w:cstheme="majorBidi"/>
      <w:color w:val="272727" w:themeColor="text1" w:themeTint="D8"/>
    </w:rPr>
  </w:style>
  <w:style w:type="paragraph" w:styleId="Title">
    <w:name w:val="Title"/>
    <w:basedOn w:val="Normal"/>
    <w:next w:val="Normal"/>
    <w:link w:val="TitleChar"/>
    <w:uiPriority w:val="10"/>
    <w:qFormat/>
    <w:rsid w:val="00457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E7A"/>
    <w:pPr>
      <w:spacing w:before="160"/>
      <w:jc w:val="center"/>
    </w:pPr>
    <w:rPr>
      <w:i/>
      <w:iCs/>
      <w:color w:val="404040" w:themeColor="text1" w:themeTint="BF"/>
    </w:rPr>
  </w:style>
  <w:style w:type="character" w:customStyle="1" w:styleId="QuoteChar">
    <w:name w:val="Quote Char"/>
    <w:basedOn w:val="DefaultParagraphFont"/>
    <w:link w:val="Quote"/>
    <w:uiPriority w:val="29"/>
    <w:rsid w:val="00457E7A"/>
    <w:rPr>
      <w:i/>
      <w:iCs/>
      <w:color w:val="404040" w:themeColor="text1" w:themeTint="BF"/>
    </w:rPr>
  </w:style>
  <w:style w:type="paragraph" w:styleId="ListParagraph">
    <w:name w:val="List Paragraph"/>
    <w:basedOn w:val="Normal"/>
    <w:uiPriority w:val="34"/>
    <w:qFormat/>
    <w:rsid w:val="00457E7A"/>
    <w:pPr>
      <w:ind w:left="720"/>
      <w:contextualSpacing/>
    </w:pPr>
  </w:style>
  <w:style w:type="character" w:styleId="IntenseEmphasis">
    <w:name w:val="Intense Emphasis"/>
    <w:basedOn w:val="DefaultParagraphFont"/>
    <w:uiPriority w:val="21"/>
    <w:qFormat/>
    <w:rsid w:val="00457E7A"/>
    <w:rPr>
      <w:i/>
      <w:iCs/>
      <w:color w:val="2E74B5" w:themeColor="accent1" w:themeShade="BF"/>
    </w:rPr>
  </w:style>
  <w:style w:type="paragraph" w:styleId="IntenseQuote">
    <w:name w:val="Intense Quote"/>
    <w:basedOn w:val="Normal"/>
    <w:next w:val="Normal"/>
    <w:link w:val="IntenseQuoteChar"/>
    <w:uiPriority w:val="30"/>
    <w:qFormat/>
    <w:rsid w:val="00457E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7E7A"/>
    <w:rPr>
      <w:i/>
      <w:iCs/>
      <w:color w:val="2E74B5" w:themeColor="accent1" w:themeShade="BF"/>
    </w:rPr>
  </w:style>
  <w:style w:type="character" w:styleId="IntenseReference">
    <w:name w:val="Intense Reference"/>
    <w:basedOn w:val="DefaultParagraphFont"/>
    <w:uiPriority w:val="32"/>
    <w:qFormat/>
    <w:rsid w:val="00457E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