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3894D" w14:textId="77777777" w:rsidR="00EF729D" w:rsidRPr="00EF729D" w:rsidRDefault="00EF729D">
      <w:pPr>
        <w:rPr>
          <w:b/>
        </w:rPr>
      </w:pPr>
      <w:r w:rsidRPr="00EF729D">
        <w:rPr>
          <w:b/>
        </w:rPr>
        <w:t>SHOWBREAD - ( lechem , Strong's H3899 )</w:t>
      </w:r>
    </w:p>
    <w:p w14:paraId="7A8492A0" w14:textId="77777777" w:rsidR="00EF729D" w:rsidRDefault="00EF729D">
      <w:r w:rsidRPr="00EF729D">
        <w:rPr>
          <w:b/>
        </w:rPr>
        <w:t>Summary:</w:t>
      </w:r>
    </w:p>
    <w:p w14:paraId="786C9556" w14:textId="77777777" w:rsidR="00EF729D" w:rsidRDefault="00EF729D">
      <w:r>
        <w:t>In Exodus 39:36, the NKJV translates the Hebrew word lechem (Strong's H3899), meaning "bread" or "food," as "showbread" because it appears in the sacred construct phrase lechem happanim—literally, "the bread of the Presence" or "the bread of the Face." This holy bread consisted of twelve fresh loaves arranged in two rows on the golden table in the Tabernacle's Holy Place. It served as a perpetual visual reminder of God's constant presence, His covenant relationship with the twelve tribes of Israel, and His faithful provision for His people. Ultimately, the showbread points forward to Jesus Christ as the true Bread of Life who brings believers into eternal fellowship with God.</w:t>
      </w:r>
    </w:p>
    <w:p w14:paraId="2A2F2121" w14:textId="77777777" w:rsidR="00EF729D" w:rsidRDefault="00EF729D"/>
    <w:p w14:paraId="1D264A12" w14:textId="77777777" w:rsidR="00EF729D" w:rsidRDefault="00EF729D">
      <w:r w:rsidRPr="00EF729D">
        <w:rPr>
          <w:b/>
        </w:rPr>
        <w:t>Full Study:</w:t>
      </w:r>
    </w:p>
    <w:p w14:paraId="190AF5A4" w14:textId="77777777" w:rsidR="00EF729D" w:rsidRDefault="00EF729D"/>
    <w:p w14:paraId="5A7C8618" w14:textId="77777777" w:rsidR="00EF729D" w:rsidRPr="00EF729D" w:rsidRDefault="00EF729D">
      <w:pPr>
        <w:rPr>
          <w:b/>
        </w:rPr>
      </w:pPr>
      <w:r w:rsidRPr="00EF729D">
        <w:rPr>
          <w:b/>
        </w:rPr>
        <w:t>1. Word Picture / Background</w:t>
      </w:r>
    </w:p>
    <w:p w14:paraId="56C073DA" w14:textId="77777777" w:rsidR="00EF729D" w:rsidRDefault="00EF729D">
      <w:r>
        <w:t>• The Hebrew word lechem is the foundational term for bread, the primary staple of physical life in the ancient Near East. It derives from a root associated with consuming, feeding, or fighting (as bread was the prize of labor and battle).</w:t>
      </w:r>
    </w:p>
    <w:p w14:paraId="6D5C64E9" w14:textId="77777777" w:rsidR="00EF729D" w:rsidRDefault="00EF729D">
      <w:r>
        <w:t>• In the context of the Tabernacle, lechem is paired with happanim (from panim, meaning "face" or "presence") to form lechem happanim.</w:t>
      </w:r>
    </w:p>
    <w:p w14:paraId="5A8274C9" w14:textId="77777777" w:rsidR="00EF729D" w:rsidRDefault="00EF729D">
      <w:r>
        <w:t>• This "bread of the Presence" was baked weekly from fine flour into twelve large, unleavened loaves representing the twelve tribes of Israel.</w:t>
      </w:r>
    </w:p>
    <w:p w14:paraId="1B789A96" w14:textId="77777777" w:rsidR="00EF729D" w:rsidRDefault="00EF729D">
      <w:r>
        <w:t>• The historical setting is one of divine hospitality. In the Holy Place, the golden table of showbread stood directly opposite the golden lampstand. The light of the lampstand constantly illuminated the bread, creating a vivid picture of God's people resting under His warm, watchful, and favorable gaze.</w:t>
      </w:r>
    </w:p>
    <w:p w14:paraId="3351C483" w14:textId="77777777" w:rsidR="00EF729D" w:rsidRDefault="00EF729D"/>
    <w:p w14:paraId="2E21147A" w14:textId="77777777" w:rsidR="00EF729D" w:rsidRPr="00EF729D" w:rsidRDefault="00EF729D">
      <w:pPr>
        <w:rPr>
          <w:b/>
        </w:rPr>
      </w:pPr>
      <w:r w:rsidRPr="00EF729D">
        <w:rPr>
          <w:b/>
        </w:rPr>
        <w:t>2. Meaning / Lexical Definition</w:t>
      </w:r>
    </w:p>
    <w:p w14:paraId="238A0BD0" w14:textId="77777777" w:rsidR="00EF729D" w:rsidRDefault="00EF729D">
      <w:r>
        <w:t>• Lechem refers literally to baked bread or food in general. It represents the essential sustenance required to preserve physical life.</w:t>
      </w:r>
    </w:p>
    <w:p w14:paraId="213E1883" w14:textId="77777777" w:rsidR="00EF729D" w:rsidRDefault="00EF729D">
      <w:r>
        <w:t>• When joined in the construct state as lechem happanim, it carries the specific, technical meaning of the twelve consecrated loaves displayed in the sanctuary before the face of Yahweh.</w:t>
      </w:r>
    </w:p>
    <w:p w14:paraId="7970ED4A" w14:textId="77777777" w:rsidR="00EF729D" w:rsidRDefault="00EF729D">
      <w:r>
        <w:t>• The word panim refers to the human face, and by extension, one's personal presence. Thus, the showbread is literally the "bread of the Face." It signifies bread that is set directly before God's face, symbolizing an intimate, face-to-face relationship between the Lord and His covenant people.</w:t>
      </w:r>
    </w:p>
    <w:p w14:paraId="1330BE7B" w14:textId="77777777" w:rsidR="00EF729D" w:rsidRDefault="00EF729D"/>
    <w:p w14:paraId="66D39DB7" w14:textId="77777777" w:rsidR="00EF729D" w:rsidRPr="00EF729D" w:rsidRDefault="00EF729D">
      <w:pPr>
        <w:rPr>
          <w:b/>
        </w:rPr>
      </w:pPr>
      <w:r w:rsidRPr="00EF729D">
        <w:rPr>
          <w:b/>
        </w:rPr>
        <w:t>3. Usage and Word Pictures</w:t>
      </w:r>
    </w:p>
    <w:p w14:paraId="7CBBA132" w14:textId="77777777" w:rsidR="00EF729D" w:rsidRDefault="00EF729D">
      <w:r>
        <w:t>• The Table of Fellowship: In the ancient world, eating bread at someone's table was a solemn declaration of peace, alliance, and covenant loyalty. By placing the twelve loaves on His table, Yahweh demonstrated that Israel was invited into perpetual fellowship and peace with Him.</w:t>
      </w:r>
    </w:p>
    <w:p w14:paraId="0E0DB251" w14:textId="77777777" w:rsidR="00EF729D" w:rsidRDefault="00EF729D">
      <w:r>
        <w:t>• The Twelve Loaves: The loaves were arranged in two rows of six. This represents the equal standing and unity of all twelve tribes before the Lord. No tribe was forgotten; all were presented continually before God's face.</w:t>
      </w:r>
    </w:p>
    <w:p w14:paraId="7DB14E6A" w14:textId="77777777" w:rsidR="00EF729D" w:rsidRDefault="00EF729D">
      <w:r>
        <w:t>• The Frankincense Memorial: Pure frankincense was placed on each row of bread (Leviticus 24:7). When the bread was changed every Sabbath, this incense was burned as a fire offering to the Lord, representing prayers and gratitude rising to heaven.</w:t>
      </w:r>
    </w:p>
    <w:p w14:paraId="03A016AA" w14:textId="77777777" w:rsidR="00EF729D" w:rsidRDefault="00EF729D"/>
    <w:p w14:paraId="791DC2C9" w14:textId="77777777" w:rsidR="00EF729D" w:rsidRPr="00EF729D" w:rsidRDefault="00EF729D">
      <w:pPr>
        <w:rPr>
          <w:b/>
        </w:rPr>
      </w:pPr>
      <w:r w:rsidRPr="00EF729D">
        <w:rPr>
          <w:b/>
        </w:rPr>
        <w:t>4. Theological Implications</w:t>
      </w:r>
    </w:p>
    <w:p w14:paraId="474FF96E" w14:textId="77777777" w:rsidR="00EF729D" w:rsidRDefault="00EF729D">
      <w:r>
        <w:t>• Provider of Life: The showbread was an ongoing confession that Israel's physical life depended entirely on God's grace. By bringing the grain of the earth back into the sanctuary as an offering, the people acknowledged God as the source of all harvest and life.</w:t>
      </w:r>
    </w:p>
    <w:p w14:paraId="1EFFACEC" w14:textId="77777777" w:rsidR="00EF729D" w:rsidRDefault="00EF729D">
      <w:r>
        <w:t>• Unbroken Communion: The showbread was also called lechem hattamid ("the continual bread"). It was never allowed to be missing from the table. This teaches that God's desire for fellowship with His people is constant, unchanging, and eternal.</w:t>
      </w:r>
    </w:p>
    <w:p w14:paraId="3F0D4ED9" w14:textId="77777777" w:rsidR="00EF729D" w:rsidRDefault="00EF729D">
      <w:r>
        <w:t>• Antitype of Christ: The showbread prefigures Jesus Christ. Jesus came as the ultimate revelation of God's "Face" or presence (Immanuel, "God with us"). In John 6:35, Jesus declared, "I am the bread of life." Just as the showbread sustained the priests, Christ spiritually feeds and sustains the believer.</w:t>
      </w:r>
    </w:p>
    <w:p w14:paraId="3BD1E557" w14:textId="77777777" w:rsidR="00EF729D" w:rsidRDefault="00EF729D"/>
    <w:p w14:paraId="11E1C470" w14:textId="77777777" w:rsidR="00EF729D" w:rsidRPr="00EF729D" w:rsidRDefault="00EF729D">
      <w:pPr>
        <w:rPr>
          <w:b/>
        </w:rPr>
      </w:pPr>
      <w:r w:rsidRPr="00EF729D">
        <w:rPr>
          <w:b/>
        </w:rPr>
        <w:t>5. Contextual Nuance in the Passage</w:t>
      </w:r>
    </w:p>
    <w:p w14:paraId="771ECD39" w14:textId="77777777" w:rsidR="00EF729D" w:rsidRDefault="00EF729D">
      <w:r>
        <w:t>• Exodus 39:36 occurs during the final inspection of the Tabernacle components. Bezalel and the skilled artisans completed their work and brought the finished sacred items to Moses.</w:t>
      </w:r>
    </w:p>
    <w:p w14:paraId="794529B7" w14:textId="77777777" w:rsidR="00EF729D" w:rsidRDefault="00EF729D">
      <w:r>
        <w:t>• The mention of "the showbread" alongside "the table and all its utensils" highlights meticulous obedience to the heavenly pattern. Before the Tabernacle could be assembled and the glory of God descend, every physical representation of covenant life—including the bread of the Presence—had to be prepared and present. Worship was to begin in perfect alignment with God's holy design.</w:t>
      </w:r>
    </w:p>
    <w:p w14:paraId="53C7370C" w14:textId="77777777" w:rsidR="00EF729D" w:rsidRDefault="00EF729D"/>
    <w:p w14:paraId="7EFBFF9C" w14:textId="77777777" w:rsidR="00EF729D" w:rsidRPr="00EF729D" w:rsidRDefault="00EF729D">
      <w:pPr>
        <w:rPr>
          <w:b/>
        </w:rPr>
      </w:pPr>
      <w:r w:rsidRPr="00EF729D">
        <w:rPr>
          <w:b/>
        </w:rPr>
        <w:t>6. Key Uses in Other Verses (NKJV)</w:t>
      </w:r>
    </w:p>
    <w:p w14:paraId="058C8AC9" w14:textId="77777777" w:rsidR="00EF729D" w:rsidRDefault="00EF729D">
      <w:r>
        <w:t>• Exodus 25:30: "And you shall set the showbread on the table before Me always."</w:t>
      </w:r>
    </w:p>
    <w:p w14:paraId="689E7799" w14:textId="77777777" w:rsidR="00EF729D" w:rsidRDefault="00EF729D">
      <w:r>
        <w:t>• 1 Samuel 21:6: "So the priest gave him holy bread; for there was no bread there but the showbread which had been taken from before the Lord, in order to put hot bread in its place on the day when it was taken away."</w:t>
      </w:r>
    </w:p>
    <w:p w14:paraId="3F8438E0" w14:textId="77777777" w:rsidR="00EF729D" w:rsidRDefault="00EF729D">
      <w:r>
        <w:t>• 2 Chronicles 2:4: "Behold, I am building a temple for the name of the Lord my God, to dedicate it to Him, to burn before Him sweet incense, for the continual showbread..."</w:t>
      </w:r>
    </w:p>
    <w:p w14:paraId="2246CECD" w14:textId="77777777" w:rsidR="00EF729D" w:rsidRDefault="00EF729D"/>
    <w:p w14:paraId="51DF46E6" w14:textId="77777777" w:rsidR="00EF729D" w:rsidRPr="00EF729D" w:rsidRDefault="00EF729D">
      <w:pPr>
        <w:rPr>
          <w:b/>
        </w:rPr>
      </w:pPr>
      <w:r w:rsidRPr="00EF729D">
        <w:rPr>
          <w:b/>
        </w:rPr>
        <w:t>7. Other Relevant Insights</w:t>
      </w:r>
    </w:p>
    <w:p w14:paraId="52E37BA2" w14:textId="77777777" w:rsidR="00EF729D" w:rsidRDefault="00EF729D">
      <w:r>
        <w:t>• Contrast with Paganism: In ancient Near Eastern pagan religions, priests placed food before idol statues to physically "feed" the gods. Israel's practice was radically different. Yahweh did not consume the showbread. Instead, at the end of the week, the old loaves were given to the priests to eat in the Holy Place. This demonstrated that Yahweh is the Giver who feeds His servants, rather than a needy deity dependent on human hands.</w:t>
      </w:r>
    </w:p>
    <w:p w14:paraId="45A64CC8" w14:textId="77777777" w:rsidR="00EF729D" w:rsidRDefault="00EF729D"/>
    <w:p w14:paraId="015C2F39" w14:textId="77777777" w:rsidR="00EF729D" w:rsidRPr="00EF729D" w:rsidRDefault="00EF729D">
      <w:pPr>
        <w:rPr>
          <w:b/>
        </w:rPr>
      </w:pPr>
      <w:r w:rsidRPr="00EF729D">
        <w:rPr>
          <w:b/>
        </w:rPr>
        <w:t>8. References</w:t>
      </w:r>
    </w:p>
    <w:p w14:paraId="499A8F2E" w14:textId="77777777" w:rsidR="00EF729D" w:rsidRDefault="00EF729D">
      <w:r>
        <w:t>• Brown-Driver-Briggs Hebrew and English Lexicon</w:t>
      </w:r>
    </w:p>
    <w:p w14:paraId="75472D36" w14:textId="77777777" w:rsidR="00EF729D" w:rsidRDefault="00EF729D">
      <w:r>
        <w:t>• Theological Wordbook of the Old Testament</w:t>
      </w:r>
    </w:p>
    <w:p w14:paraId="29A7168C" w14:textId="77777777" w:rsidR="00EF729D" w:rsidRDefault="00EF729D">
      <w:r>
        <w:t>• New International Dictionary of Old Testament Theology and Exegesis</w:t>
      </w:r>
    </w:p>
    <w:p w14:paraId="73E23F82" w14:textId="77777777" w:rsidR="00EF729D" w:rsidRDefault="00EF729D">
      <w:r>
        <w:t>• Strong's Exhaustive Concordance of the Bible</w:t>
      </w:r>
    </w:p>
    <w:p w14:paraId="4BE90CB6" w14:textId="49AB5CA1" w:rsidR="004C5552" w:rsidRDefault="00EF729D">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29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F729D"/>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95372"/>
  <w15:chartTrackingRefBased/>
  <w15:docId w15:val="{1DAD5A9B-9CFD-4429-B813-906771EE5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F72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2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2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2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F72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2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2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29D"/>
    <w:rPr>
      <w:rFonts w:eastAsiaTheme="majorEastAsia" w:cstheme="majorBidi"/>
      <w:color w:val="272727" w:themeColor="text1" w:themeTint="D8"/>
    </w:rPr>
  </w:style>
  <w:style w:type="paragraph" w:styleId="Title">
    <w:name w:val="Title"/>
    <w:basedOn w:val="Normal"/>
    <w:next w:val="Normal"/>
    <w:link w:val="TitleChar"/>
    <w:uiPriority w:val="10"/>
    <w:qFormat/>
    <w:rsid w:val="00EF72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2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2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2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29D"/>
    <w:pPr>
      <w:spacing w:before="160"/>
      <w:jc w:val="center"/>
    </w:pPr>
    <w:rPr>
      <w:i/>
      <w:iCs/>
      <w:color w:val="404040" w:themeColor="text1" w:themeTint="BF"/>
    </w:rPr>
  </w:style>
  <w:style w:type="character" w:customStyle="1" w:styleId="QuoteChar">
    <w:name w:val="Quote Char"/>
    <w:basedOn w:val="DefaultParagraphFont"/>
    <w:link w:val="Quote"/>
    <w:uiPriority w:val="29"/>
    <w:rsid w:val="00EF729D"/>
    <w:rPr>
      <w:i/>
      <w:iCs/>
      <w:color w:val="404040" w:themeColor="text1" w:themeTint="BF"/>
    </w:rPr>
  </w:style>
  <w:style w:type="paragraph" w:styleId="ListParagraph">
    <w:name w:val="List Paragraph"/>
    <w:basedOn w:val="Normal"/>
    <w:uiPriority w:val="34"/>
    <w:qFormat/>
    <w:rsid w:val="00EF729D"/>
    <w:pPr>
      <w:ind w:left="720"/>
      <w:contextualSpacing/>
    </w:pPr>
  </w:style>
  <w:style w:type="character" w:styleId="IntenseEmphasis">
    <w:name w:val="Intense Emphasis"/>
    <w:basedOn w:val="DefaultParagraphFont"/>
    <w:uiPriority w:val="21"/>
    <w:qFormat/>
    <w:rsid w:val="00EF729D"/>
    <w:rPr>
      <w:i/>
      <w:iCs/>
      <w:color w:val="2E74B5" w:themeColor="accent1" w:themeShade="BF"/>
    </w:rPr>
  </w:style>
  <w:style w:type="paragraph" w:styleId="IntenseQuote">
    <w:name w:val="Intense Quote"/>
    <w:basedOn w:val="Normal"/>
    <w:next w:val="Normal"/>
    <w:link w:val="IntenseQuoteChar"/>
    <w:uiPriority w:val="30"/>
    <w:qFormat/>
    <w:rsid w:val="00EF729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F729D"/>
    <w:rPr>
      <w:i/>
      <w:iCs/>
      <w:color w:val="2E74B5" w:themeColor="accent1" w:themeShade="BF"/>
    </w:rPr>
  </w:style>
  <w:style w:type="character" w:styleId="IntenseReference">
    <w:name w:val="Intense Reference"/>
    <w:basedOn w:val="DefaultParagraphFont"/>
    <w:uiPriority w:val="32"/>
    <w:qFormat/>
    <w:rsid w:val="00EF729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857</Words>
  <Characters>4886</Characters>
  <Application>Microsoft Office Word</Application>
  <DocSecurity>0</DocSecurity>
  <Lines>40</Lines>
  <Paragraphs>11</Paragraphs>
  <ScaleCrop>false</ScaleCrop>
  <Company/>
  <LinksUpToDate>false</LinksUpToDate>
  <CharactersWithSpaces>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2026-08-14T11:32:00Z</dcterms:created>
  <dcterms:modified xsi:type="dcterms:W3CDTF">2026-08-14T11:33:00Z</dcterms:modified>
</cp:coreProperties>
</file>