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B65F" w14:textId="77777777" w:rsidR="007A5B3F" w:rsidRPr="007A5B3F" w:rsidRDefault="007A5B3F">
      <w:pPr>
        <w:rPr>
          <w:b/>
        </w:rPr>
      </w:pPr>
      <w:r w:rsidRPr="007A5B3F">
        <w:rPr>
          <w:b/>
        </w:rPr>
        <w:t>LAMPSTAND - ( menorah , Strong's H4501 )</w:t>
      </w:r>
    </w:p>
    <w:p w14:paraId="13CAC574" w14:textId="77777777" w:rsidR="007A5B3F" w:rsidRDefault="007A5B3F">
      <w:r w:rsidRPr="007A5B3F">
        <w:rPr>
          <w:b/>
        </w:rPr>
        <w:t>Summary:</w:t>
      </w:r>
    </w:p>
    <w:p w14:paraId="564BF36C" w14:textId="77777777" w:rsidR="007A5B3F" w:rsidRDefault="007A5B3F">
      <w:r>
        <w:t>• menorah refers to a lampstand or candelabrum, specifically the seven-branched golden lampstand constructed for the Tabernacle and later used in the Temple. It represents divine light, God's presence, guidance, and the illumination of the Holy Spirit among His people. In Exodus 39:37, it is called the "pure lampstand," highlighting its holy, unalloyed gold construction and its vital role in the daily worship of the sanctuary.</w:t>
      </w:r>
    </w:p>
    <w:p w14:paraId="63CFC806" w14:textId="77777777" w:rsidR="007A5B3F" w:rsidRDefault="007A5B3F"/>
    <w:p w14:paraId="77440EE1" w14:textId="77777777" w:rsidR="007A5B3F" w:rsidRDefault="007A5B3F">
      <w:r w:rsidRPr="007A5B3F">
        <w:rPr>
          <w:b/>
        </w:rPr>
        <w:t>Full Study:</w:t>
      </w:r>
    </w:p>
    <w:p w14:paraId="4020DC66" w14:textId="77777777" w:rsidR="007A5B3F" w:rsidRDefault="007A5B3F"/>
    <w:p w14:paraId="797D1D99" w14:textId="77777777" w:rsidR="007A5B3F" w:rsidRPr="007A5B3F" w:rsidRDefault="007A5B3F">
      <w:pPr>
        <w:rPr>
          <w:b/>
        </w:rPr>
      </w:pPr>
      <w:r w:rsidRPr="007A5B3F">
        <w:rPr>
          <w:b/>
        </w:rPr>
        <w:t>1. Word Picture / Background</w:t>
      </w:r>
    </w:p>
    <w:p w14:paraId="31CE45F9" w14:textId="77777777" w:rsidR="007A5B3F" w:rsidRDefault="007A5B3F">
      <w:r>
        <w:t>• The word menorah is derived from the noun ner (Strong's H5216), which means "lamp" or "light," originating from an ancient root meaning "to glisten" or "to shine."</w:t>
      </w:r>
    </w:p>
    <w:p w14:paraId="091AAD18" w14:textId="77777777" w:rsidR="007A5B3F" w:rsidRDefault="007A5B3F">
      <w:r>
        <w:t>• In ordinary ancient Near Eastern households, a menorah was a simple, utilitarian wooden or clay stand designed to elevate a small oil lamp to disperse light throughout a room.</w:t>
      </w:r>
    </w:p>
    <w:p w14:paraId="3031C803" w14:textId="77777777" w:rsidR="007A5B3F" w:rsidRDefault="007A5B3F">
      <w:r>
        <w:t>• In the Tabernacle, however, the menorah was elevated to an extraordinary piece of sacred art. It was beaten from a single talent of pure gold. Its structural design was deliberately botanical, mimicking an almond tree in bloom. It featured a central shaft with three branches extending from each side, making seven lamps in total. The branches were decorated with ornamental bowls shaped like almond blossoms, buds, and flowers.</w:t>
      </w:r>
    </w:p>
    <w:p w14:paraId="35593F2C" w14:textId="77777777" w:rsidR="007A5B3F" w:rsidRDefault="007A5B3F"/>
    <w:p w14:paraId="1A44CF17" w14:textId="77777777" w:rsidR="007A5B3F" w:rsidRPr="007A5B3F" w:rsidRDefault="007A5B3F">
      <w:pPr>
        <w:rPr>
          <w:b/>
        </w:rPr>
      </w:pPr>
      <w:r w:rsidRPr="007A5B3F">
        <w:rPr>
          <w:b/>
        </w:rPr>
        <w:t>2. Meaning / Lexical Definition</w:t>
      </w:r>
    </w:p>
    <w:p w14:paraId="33A3D214" w14:textId="77777777" w:rsidR="007A5B3F" w:rsidRDefault="007A5B3F">
      <w:r>
        <w:t>• menorah denotes a lampstand or a container for light. It is not a holder for wax candles, which were unknown in ancient Israel, but rather a support for small pottery or metal oil vessels.</w:t>
      </w:r>
    </w:p>
    <w:p w14:paraId="17F5A132" w14:textId="77777777" w:rsidR="007A5B3F" w:rsidRDefault="007A5B3F">
      <w:r>
        <w:t>• In the Old Testament, the word is used almost exclusively in a sacred context to refer to the primary light-bearer in the Tabernacle (Exodus 25:31), the ten lampstands in Solomon’s Temple (1 Kings 7:49), or the prophetic, symbolic lampstand in Zechariah’s vision (Zechariah 4:2).</w:t>
      </w:r>
    </w:p>
    <w:p w14:paraId="3B566EC3" w14:textId="77777777" w:rsidR="007A5B3F" w:rsidRDefault="007A5B3F"/>
    <w:p w14:paraId="30618A8E" w14:textId="77777777" w:rsidR="007A5B3F" w:rsidRPr="007A5B3F" w:rsidRDefault="007A5B3F">
      <w:pPr>
        <w:rPr>
          <w:b/>
        </w:rPr>
      </w:pPr>
      <w:r w:rsidRPr="007A5B3F">
        <w:rPr>
          <w:b/>
        </w:rPr>
        <w:t>3. Usage and Word Pictures</w:t>
      </w:r>
    </w:p>
    <w:p w14:paraId="5B0C8B65" w14:textId="77777777" w:rsidR="007A5B3F" w:rsidRDefault="007A5B3F">
      <w:r>
        <w:t>• The Tree of Life: The botanical terminology used in the instructions for the lampstand (branches, bowls, buds, and almond blossoms) strongly evokes the imagery of the Garden of Eden. The menorah stood in the Holy Place as a stylized, golden Tree of Life, reminding priests that fellowship with God is the source of all true life and vitality.</w:t>
      </w:r>
    </w:p>
    <w:p w14:paraId="76B3282F" w14:textId="77777777" w:rsidR="007A5B3F" w:rsidRDefault="007A5B3F">
      <w:r>
        <w:t>• The Watchful Eye of God: The ornamentations were specifically patterned after almond blossoms (shaqed). In Hebrew, shaqed shares a root with the verb "to watch" or "be wakeful," because the almond tree was the first to bloom in the spring. The lampstand thus served as a visual reminder that God is awake, watching over His covenant and His people.</w:t>
      </w:r>
    </w:p>
    <w:p w14:paraId="06C048F7" w14:textId="77777777" w:rsidR="007A5B3F" w:rsidRDefault="007A5B3F">
      <w:r>
        <w:t>• The Holy Spirit: Because the lamps required pure, beaten olive oil to burn continually, the menorah became an enduring biblical picture of the Holy Spirit, who provides constant, divine illumination to God's people.</w:t>
      </w:r>
    </w:p>
    <w:p w14:paraId="5912730B" w14:textId="77777777" w:rsidR="007A5B3F" w:rsidRDefault="007A5B3F"/>
    <w:p w14:paraId="736EBD3D" w14:textId="77777777" w:rsidR="007A5B3F" w:rsidRPr="007A5B3F" w:rsidRDefault="007A5B3F">
      <w:pPr>
        <w:rPr>
          <w:b/>
        </w:rPr>
      </w:pPr>
      <w:r w:rsidRPr="007A5B3F">
        <w:rPr>
          <w:b/>
        </w:rPr>
        <w:t>4. Theological Implications</w:t>
      </w:r>
    </w:p>
    <w:p w14:paraId="44F4C04A" w14:textId="77777777" w:rsidR="007A5B3F" w:rsidRDefault="007A5B3F">
      <w:r>
        <w:t>• Divine Revelation vs. Human Reason: The Holy Place in the Tabernacle had no windows; it was completely sealed off from natural sunlight. The only light in this sacred space came from the menorah. Theologically, this teaches that human reason and natural light are insufficient to understand the things of God. Only through the light of divine revelation, illuminated by the Spirit, can anyone worship or serve God acceptably.</w:t>
      </w:r>
    </w:p>
    <w:p w14:paraId="545903E5" w14:textId="77777777" w:rsidR="007A5B3F" w:rsidRDefault="007A5B3F">
      <w:r>
        <w:t>• The Messiah as the Light: The lampstand points directly to Jesus Christ, who declared, "I am the light of the world" (John 8:12). He is the true source of spiritual life and illumination who walked among His people.</w:t>
      </w:r>
    </w:p>
    <w:p w14:paraId="7FD352F9" w14:textId="77777777" w:rsidR="007A5B3F" w:rsidRDefault="007A5B3F">
      <w:r>
        <w:t>• The Church's Mission: In the New Testament, this imagery transfers to the local church. In Revelation 1:12-20, the resurrected Christ walks among "seven golden lampstands," which are explicitly identified as the churches. The church does not generate its own light; it is a lampstand designed to hold and display the light of Christ to a dark world.</w:t>
      </w:r>
    </w:p>
    <w:p w14:paraId="016106FA" w14:textId="77777777" w:rsidR="007A5B3F" w:rsidRDefault="007A5B3F"/>
    <w:p w14:paraId="20513FF7" w14:textId="77777777" w:rsidR="007A5B3F" w:rsidRPr="007A5B3F" w:rsidRDefault="007A5B3F">
      <w:pPr>
        <w:rPr>
          <w:b/>
        </w:rPr>
      </w:pPr>
      <w:r w:rsidRPr="007A5B3F">
        <w:rPr>
          <w:b/>
        </w:rPr>
        <w:t>5. Contextual Nuance in the Passage</w:t>
      </w:r>
    </w:p>
    <w:p w14:paraId="1FD3197C" w14:textId="77777777" w:rsidR="007A5B3F" w:rsidRDefault="007A5B3F">
      <w:r>
        <w:t>• In Exodus 39:37, the phrase "the pure gold lampstand" (hammenorach hattehorah) carries significant weight. This verse occurs during the formal presentation of the completed Tabernacle elements to Moses, demonstrating that Bezalel and the craftsmen had obeyed God's instructions perfectly.</w:t>
      </w:r>
    </w:p>
    <w:p w14:paraId="0148DB0A" w14:textId="77777777" w:rsidR="007A5B3F" w:rsidRDefault="007A5B3F">
      <w:r>
        <w:t>• The adjective "pure" (tehorah) refers to ceremonial cleanness, but physically it describes gold that has been thoroughly refined, with all dross and baser metals removed. In the context of worship, this purity emphasizes that God's light is unmixed with human compromise, corruption, or darkness. It stood as a flawless reflection of His holiness.</w:t>
      </w:r>
    </w:p>
    <w:p w14:paraId="3DF493A8" w14:textId="77777777" w:rsidR="007A5B3F" w:rsidRDefault="007A5B3F"/>
    <w:p w14:paraId="7FA4935A" w14:textId="77777777" w:rsidR="007A5B3F" w:rsidRPr="007A5B3F" w:rsidRDefault="007A5B3F">
      <w:pPr>
        <w:rPr>
          <w:b/>
        </w:rPr>
      </w:pPr>
      <w:r w:rsidRPr="007A5B3F">
        <w:rPr>
          <w:b/>
        </w:rPr>
        <w:t>6. Key Uses in Other Verses (NKJV)</w:t>
      </w:r>
    </w:p>
    <w:p w14:paraId="2335BF45" w14:textId="77777777" w:rsidR="007A5B3F" w:rsidRDefault="007A5B3F">
      <w:r>
        <w:t>• Exodus 25:31 - "You shall also make a lampstand of pure gold; the lampstand shall be of hammered work."</w:t>
      </w:r>
    </w:p>
    <w:p w14:paraId="3728C602" w14:textId="77777777" w:rsidR="007A5B3F" w:rsidRDefault="007A5B3F">
      <w:r>
        <w:t>• Leviticus 24:4 - "He shall keep the lamps in order on the pure gold lampstand before the Lord continually."</w:t>
      </w:r>
    </w:p>
    <w:p w14:paraId="76FB8345" w14:textId="77777777" w:rsidR="007A5B3F" w:rsidRDefault="007A5B3F">
      <w:r>
        <w:t>• 1 Kings 7:49 - "the lampstands of pure gold, five on the right side and five on the left in front of the inner sanctuary, with the flowers and the lamps and the wick-trimmers of gold;"</w:t>
      </w:r>
    </w:p>
    <w:p w14:paraId="4308862B" w14:textId="77777777" w:rsidR="007A5B3F" w:rsidRDefault="007A5B3F">
      <w:r>
        <w:t>• Zechariah 4:2 - "And he said to me, 'What do you see?' So I said, 'I am looking, and there is a lampstand of solid gold with a bowl on top of it...'"</w:t>
      </w:r>
    </w:p>
    <w:p w14:paraId="348319CF" w14:textId="77777777" w:rsidR="007A5B3F" w:rsidRDefault="007A5B3F"/>
    <w:p w14:paraId="25CCF437" w14:textId="77777777" w:rsidR="007A5B3F" w:rsidRPr="007A5B3F" w:rsidRDefault="007A5B3F">
      <w:pPr>
        <w:rPr>
          <w:b/>
        </w:rPr>
      </w:pPr>
      <w:r w:rsidRPr="007A5B3F">
        <w:rPr>
          <w:b/>
        </w:rPr>
        <w:t>7. Other Relevant Insights</w:t>
      </w:r>
    </w:p>
    <w:p w14:paraId="6A35C39F" w14:textId="77777777" w:rsidR="007A5B3F" w:rsidRDefault="007A5B3F">
      <w:r>
        <w:t>• The method of constructing the menorah was "hammered work" (miqshah). It was not cast in a mold but beaten out of a single, solid block of gold. This suggests that the beauty, utility, and intricate design of the lampstand came through a process of heavy pressure and shaping. This mirrors the spiritual reality of how God refines, shapes, and hammers His servants to become beautiful vessels capable of carrying His light.</w:t>
      </w:r>
    </w:p>
    <w:p w14:paraId="7E48B779" w14:textId="77777777" w:rsidR="007A5B3F" w:rsidRDefault="007A5B3F"/>
    <w:p w14:paraId="717ED836" w14:textId="77777777" w:rsidR="007A5B3F" w:rsidRPr="007A5B3F" w:rsidRDefault="007A5B3F">
      <w:pPr>
        <w:rPr>
          <w:b/>
        </w:rPr>
      </w:pPr>
      <w:r w:rsidRPr="007A5B3F">
        <w:rPr>
          <w:b/>
        </w:rPr>
        <w:t>8. References</w:t>
      </w:r>
    </w:p>
    <w:p w14:paraId="7AE538C3" w14:textId="77777777" w:rsidR="007A5B3F" w:rsidRDefault="007A5B3F">
      <w:r>
        <w:t>• BDB Theological Dictionary</w:t>
      </w:r>
    </w:p>
    <w:p w14:paraId="3EA7BF42" w14:textId="77777777" w:rsidR="007A5B3F" w:rsidRDefault="007A5B3F">
      <w:r>
        <w:t>• HALOT</w:t>
      </w:r>
    </w:p>
    <w:p w14:paraId="5BAAF550" w14:textId="77777777" w:rsidR="007A5B3F" w:rsidRDefault="007A5B3F">
      <w:r>
        <w:t>• TWOT</w:t>
      </w:r>
    </w:p>
    <w:p w14:paraId="22223BE8" w14:textId="77777777" w:rsidR="007A5B3F" w:rsidRDefault="007A5B3F">
      <w:r>
        <w:t>• Vine's Expository Dictionary</w:t>
      </w:r>
    </w:p>
    <w:p w14:paraId="1FB50450" w14:textId="77777777" w:rsidR="007A5B3F" w:rsidRDefault="007A5B3F">
      <w:r>
        <w:t>• Blue Letter Bible</w:t>
      </w:r>
    </w:p>
    <w:p w14:paraId="4213FAEC" w14:textId="2524D316" w:rsidR="004C5552" w:rsidRDefault="007A5B3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5B3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CB94"/>
  <w15:chartTrackingRefBased/>
  <w15:docId w15:val="{27808362-88DA-4032-9123-8700A650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5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5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3F"/>
    <w:rPr>
      <w:rFonts w:eastAsiaTheme="majorEastAsia" w:cstheme="majorBidi"/>
      <w:color w:val="272727" w:themeColor="text1" w:themeTint="D8"/>
    </w:rPr>
  </w:style>
  <w:style w:type="paragraph" w:styleId="Title">
    <w:name w:val="Title"/>
    <w:basedOn w:val="Normal"/>
    <w:next w:val="Normal"/>
    <w:link w:val="TitleChar"/>
    <w:uiPriority w:val="10"/>
    <w:qFormat/>
    <w:rsid w:val="007A5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3F"/>
    <w:pPr>
      <w:spacing w:before="160"/>
      <w:jc w:val="center"/>
    </w:pPr>
    <w:rPr>
      <w:i/>
      <w:iCs/>
      <w:color w:val="404040" w:themeColor="text1" w:themeTint="BF"/>
    </w:rPr>
  </w:style>
  <w:style w:type="character" w:customStyle="1" w:styleId="QuoteChar">
    <w:name w:val="Quote Char"/>
    <w:basedOn w:val="DefaultParagraphFont"/>
    <w:link w:val="Quote"/>
    <w:uiPriority w:val="29"/>
    <w:rsid w:val="007A5B3F"/>
    <w:rPr>
      <w:i/>
      <w:iCs/>
      <w:color w:val="404040" w:themeColor="text1" w:themeTint="BF"/>
    </w:rPr>
  </w:style>
  <w:style w:type="paragraph" w:styleId="ListParagraph">
    <w:name w:val="List Paragraph"/>
    <w:basedOn w:val="Normal"/>
    <w:uiPriority w:val="34"/>
    <w:qFormat/>
    <w:rsid w:val="007A5B3F"/>
    <w:pPr>
      <w:ind w:left="720"/>
      <w:contextualSpacing/>
    </w:pPr>
  </w:style>
  <w:style w:type="character" w:styleId="IntenseEmphasis">
    <w:name w:val="Intense Emphasis"/>
    <w:basedOn w:val="DefaultParagraphFont"/>
    <w:uiPriority w:val="21"/>
    <w:qFormat/>
    <w:rsid w:val="007A5B3F"/>
    <w:rPr>
      <w:i/>
      <w:iCs/>
      <w:color w:val="2E74B5" w:themeColor="accent1" w:themeShade="BF"/>
    </w:rPr>
  </w:style>
  <w:style w:type="paragraph" w:styleId="IntenseQuote">
    <w:name w:val="Intense Quote"/>
    <w:basedOn w:val="Normal"/>
    <w:next w:val="Normal"/>
    <w:link w:val="IntenseQuoteChar"/>
    <w:uiPriority w:val="30"/>
    <w:qFormat/>
    <w:rsid w:val="007A5B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5B3F"/>
    <w:rPr>
      <w:i/>
      <w:iCs/>
      <w:color w:val="2E74B5" w:themeColor="accent1" w:themeShade="BF"/>
    </w:rPr>
  </w:style>
  <w:style w:type="character" w:styleId="IntenseReference">
    <w:name w:val="Intense Reference"/>
    <w:basedOn w:val="DefaultParagraphFont"/>
    <w:uiPriority w:val="32"/>
    <w:qFormat/>
    <w:rsid w:val="007A5B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