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D209" w14:textId="77777777" w:rsidR="006F4650" w:rsidRPr="006F4650" w:rsidRDefault="006F4650">
      <w:pPr>
        <w:rPr>
          <w:b/>
        </w:rPr>
      </w:pPr>
      <w:r w:rsidRPr="006F4650">
        <w:rPr>
          <w:b/>
        </w:rPr>
        <w:t>SCREEN - ( māsāk , Strong's H4539 )</w:t>
      </w:r>
    </w:p>
    <w:p w14:paraId="33068DF4" w14:textId="77777777" w:rsidR="006F4650" w:rsidRDefault="006F4650">
      <w:r w:rsidRPr="006F4650">
        <w:rPr>
          <w:b/>
        </w:rPr>
        <w:t>Summary:</w:t>
      </w:r>
    </w:p>
    <w:p w14:paraId="0BAF6FE2" w14:textId="77777777" w:rsidR="006F4650" w:rsidRDefault="006F4650">
      <w:r>
        <w:t>The Hebrew word māsāk refers to a protective covering, hanging, screen, or curtain. In the Old Testament, it primarily designates the heavy, ornamental fabrics used as doors or entry barriers in the Tabernacle complex. These screens served both a functional and a theological purpose: they restricted access to the sacred spaces of God's dwelling, acting as merciful boundaries that protected sinful people from the consuming presence of a holy God, while simultaneously revealing His beauty through their exquisite craftsmanship.</w:t>
      </w:r>
    </w:p>
    <w:p w14:paraId="6578E821" w14:textId="77777777" w:rsidR="006F4650" w:rsidRDefault="006F4650"/>
    <w:p w14:paraId="1CFE320D" w14:textId="77777777" w:rsidR="006F4650" w:rsidRDefault="006F4650">
      <w:r w:rsidRPr="006F4650">
        <w:rPr>
          <w:b/>
        </w:rPr>
        <w:t>Full Study:</w:t>
      </w:r>
    </w:p>
    <w:p w14:paraId="5A6170FD" w14:textId="77777777" w:rsidR="006F4650" w:rsidRDefault="006F4650"/>
    <w:p w14:paraId="7DDF85D9" w14:textId="77777777" w:rsidR="006F4650" w:rsidRPr="006F4650" w:rsidRDefault="006F4650">
      <w:pPr>
        <w:rPr>
          <w:b/>
        </w:rPr>
      </w:pPr>
      <w:r w:rsidRPr="006F4650">
        <w:rPr>
          <w:b/>
        </w:rPr>
        <w:t xml:space="preserve"> 1. Word Picture / Background</w:t>
      </w:r>
    </w:p>
    <w:p w14:paraId="784C46DE" w14:textId="77777777" w:rsidR="006F4650" w:rsidRDefault="006F4650">
      <w:r>
        <w:t>The noun māsāk is derived from the root verb sakak, which means to cover, hedge, protect, shut off, or defend. The historical word picture associated with this root is one of protective enclosure. It evokes the image of a shield or a protective hedge that keeps unauthorized onlookers out while safeguarding what is precious on the inside. Thus, a māsāk is not merely an aesthetic drapery or a simple room divider; it is an active, defensive barrier. It stands guard at a threshold, regulating passage and signaling that the space beyond is set apart and protected.</w:t>
      </w:r>
    </w:p>
    <w:p w14:paraId="57FE176C" w14:textId="77777777" w:rsidR="006F4650" w:rsidRDefault="006F4650"/>
    <w:p w14:paraId="1C080C15" w14:textId="77777777" w:rsidR="006F4650" w:rsidRPr="006F4650" w:rsidRDefault="006F4650">
      <w:pPr>
        <w:rPr>
          <w:b/>
        </w:rPr>
      </w:pPr>
      <w:r w:rsidRPr="006F4650">
        <w:rPr>
          <w:b/>
        </w:rPr>
        <w:t xml:space="preserve"> 2. Meaning / Lexical Definition</w:t>
      </w:r>
    </w:p>
    <w:p w14:paraId="4A86F50D" w14:textId="77777777" w:rsidR="006F4650" w:rsidRDefault="006F4650">
      <w:r>
        <w:t>In classical Hebrew, māsāk denotes a covering, a hanging, or a screen. In the context of the wilderness Tabernacle, it is used specifically for the woven hangings that functioned as doors. It refers to two primary barriers:</w:t>
      </w:r>
    </w:p>
    <w:p w14:paraId="47E1282C" w14:textId="77777777" w:rsidR="006F4650" w:rsidRDefault="006F4650">
      <w:r>
        <w:t>• The screen at the entrance of the Tabernacle tent itself (the door of the Holy Place).</w:t>
      </w:r>
    </w:p>
    <w:p w14:paraId="54F9F4D8" w14:textId="77777777" w:rsidR="006F4650" w:rsidRDefault="006F4650">
      <w:r>
        <w:t>• The screen at the gate of the outer court.</w:t>
      </w:r>
    </w:p>
    <w:p w14:paraId="7D885C63" w14:textId="77777777" w:rsidR="006F4650" w:rsidRDefault="006F4650"/>
    <w:p w14:paraId="12ECAB44" w14:textId="77777777" w:rsidR="006F4650" w:rsidRDefault="006F4650">
      <w:r>
        <w:t>While it functions as a curtain, it is lexically distinct from the inner veil (parōket) that separated the Holy Place from the Holy of Holies. The māsāk served as the outer gate or entrance door, whereas the parōket was the innermost partition shielding the Ark of the Covenant.</w:t>
      </w:r>
    </w:p>
    <w:p w14:paraId="0364CC5A" w14:textId="77777777" w:rsidR="006F4650" w:rsidRDefault="006F4650"/>
    <w:p w14:paraId="2034BD1F" w14:textId="77777777" w:rsidR="006F4650" w:rsidRPr="006F4650" w:rsidRDefault="006F4650">
      <w:pPr>
        <w:rPr>
          <w:b/>
        </w:rPr>
      </w:pPr>
      <w:r w:rsidRPr="006F4650">
        <w:rPr>
          <w:b/>
        </w:rPr>
        <w:t xml:space="preserve"> 3. Usage and Word Pictures</w:t>
      </w:r>
    </w:p>
    <w:p w14:paraId="0D2FB8FA" w14:textId="77777777" w:rsidR="006F4650" w:rsidRDefault="006F4650">
      <w:r>
        <w:t xml:space="preserve">The term māsāk occurs 25 times in the Hebrew Bible, almost exclusively within the books of Exodus and Numbers in descriptions of the Tabernacle's construction and transport. </w:t>
      </w:r>
    </w:p>
    <w:p w14:paraId="4CF3C2BC" w14:textId="77777777" w:rsidR="006F4650" w:rsidRDefault="006F4650">
      <w:r>
        <w:t>• The Tabernacle Entrance Screen: This screen was suspended on five pillars of acacia wood overlaid with gold. It was woven of blue, purple, and scarlet thread, and fine woven linen.</w:t>
      </w:r>
    </w:p>
    <w:p w14:paraId="5452C76D" w14:textId="77777777" w:rsidR="006F4650" w:rsidRDefault="006F4650">
      <w:r>
        <w:t>• The Court Gate Screen: This screen hung at the entrance of the outer courtyard, measuring twenty cubits wide, suspended on four pillars.</w:t>
      </w:r>
    </w:p>
    <w:p w14:paraId="21B49A17" w14:textId="77777777" w:rsidR="006F4650" w:rsidRDefault="006F4650">
      <w:r>
        <w:t>• A Protective Covering: In a non-tabernacle historical context, the word is used in 2 Samuel 17:19 to describe a protective covering spread over the mouth of a well to hide hiding soldiers, illustrating its basic functional sense of concealing and protecting.</w:t>
      </w:r>
    </w:p>
    <w:p w14:paraId="0A90BAD4" w14:textId="77777777" w:rsidR="006F4650" w:rsidRDefault="006F4650"/>
    <w:p w14:paraId="7D61E895" w14:textId="77777777" w:rsidR="006F4650" w:rsidRPr="006F4650" w:rsidRDefault="006F4650">
      <w:pPr>
        <w:rPr>
          <w:b/>
        </w:rPr>
      </w:pPr>
      <w:r w:rsidRPr="006F4650">
        <w:rPr>
          <w:b/>
        </w:rPr>
        <w:t xml:space="preserve"> 4. Theological Implications</w:t>
      </w:r>
    </w:p>
    <w:p w14:paraId="5704C29B" w14:textId="77777777" w:rsidR="006F4650" w:rsidRDefault="006F4650">
      <w:r>
        <w:t xml:space="preserve">The presence of the māsāk in the Tabernacle highlights the profound tension between God’s holiness and human sinfulness. Yahweh desired to dwell in the midst of His covenant people, yet His unmitigated holiness is a consuming fire to sinful humanity. </w:t>
      </w:r>
    </w:p>
    <w:p w14:paraId="5917504E" w14:textId="77777777" w:rsidR="006F4650" w:rsidRDefault="006F4650">
      <w:r>
        <w:t>• Merciful Boundary: The screens acted as a buffer of mercy. By blocking physical and visual access to the holy areas, God protected the Israelites from entering unworthily and facing immediate judgment.</w:t>
      </w:r>
    </w:p>
    <w:p w14:paraId="34433634" w14:textId="77777777" w:rsidR="006F4650" w:rsidRDefault="006F4650">
      <w:r>
        <w:t>• Graded Holiness: The Tabernacle layout featured progressive layers of restriction. The common Israelite could enter the outer court, but only the consecrated priests could pass through the māsāk into the Holy Place, and only the High Priest could pass the parōket into the Holy of Holies.</w:t>
      </w:r>
    </w:p>
    <w:p w14:paraId="3C02B3F8" w14:textId="77777777" w:rsidR="006F4650" w:rsidRDefault="006F4650">
      <w:r>
        <w:t>• Christological Fulfillment: Under the New Covenant, Jesus Christ is the ultimate fulfillment of these sacred barriers. He is the "door" (John 10:9) through whom we enter. His flesh was torn to open a way, transforming what was once a closed screen of separation into an open invitation to draw near to the throne of grace with confidence (Hebrews 10:19–20).</w:t>
      </w:r>
    </w:p>
    <w:p w14:paraId="11894AB5" w14:textId="77777777" w:rsidR="006F4650" w:rsidRDefault="006F4650"/>
    <w:p w14:paraId="39212089" w14:textId="77777777" w:rsidR="006F4650" w:rsidRPr="006F4650" w:rsidRDefault="006F4650">
      <w:pPr>
        <w:rPr>
          <w:b/>
        </w:rPr>
      </w:pPr>
      <w:r w:rsidRPr="006F4650">
        <w:rPr>
          <w:b/>
        </w:rPr>
        <w:t xml:space="preserve"> 5. Contextual Nuance in the Passage</w:t>
      </w:r>
    </w:p>
    <w:p w14:paraId="6F8B67B3" w14:textId="77777777" w:rsidR="006F4650" w:rsidRDefault="006F4650">
      <w:r>
        <w:t xml:space="preserve">In Exodus 39:38, the screen is listed among the completed items of the Tabernacle brought to Moses for inspection. This specific reference is to "the screen for the tabernacle door" (māsāk petach hā'ōhel), which stood at the eastern entrance of the Holy Place. </w:t>
      </w:r>
    </w:p>
    <w:p w14:paraId="39333CA2" w14:textId="77777777" w:rsidR="006F4650" w:rsidRDefault="006F4650">
      <w:r>
        <w:t>• The context emphasizes total obedience and meticulous detail: "According to all that the Lord had commanded Moses, so the children of Israel did all the work" (Exodus 39:42).</w:t>
      </w:r>
    </w:p>
    <w:p w14:paraId="565BABC4" w14:textId="77777777" w:rsidR="006F4650" w:rsidRDefault="006F4650">
      <w:r>
        <w:t>• The inclusion of the māsāk in this official inventory demonstrates that even the boundaries and access points of God's house must be constructed exactly as God commanded. The security and sanctity of God's dwelling place were not left to human innovation but were designed and approved by God Himself.</w:t>
      </w:r>
    </w:p>
    <w:p w14:paraId="5177889C" w14:textId="77777777" w:rsidR="006F4650" w:rsidRDefault="006F4650"/>
    <w:p w14:paraId="49CFAE44" w14:textId="77777777" w:rsidR="006F4650" w:rsidRPr="006F4650" w:rsidRDefault="006F4650">
      <w:pPr>
        <w:rPr>
          <w:b/>
        </w:rPr>
      </w:pPr>
      <w:r w:rsidRPr="006F4650">
        <w:rPr>
          <w:b/>
        </w:rPr>
        <w:t xml:space="preserve"> 6. Key Uses in Other Verses (NKJV)</w:t>
      </w:r>
    </w:p>
    <w:p w14:paraId="765413BF" w14:textId="77777777" w:rsidR="006F4650" w:rsidRDefault="006F4650">
      <w:r>
        <w:t>• Exodus 26:36: "You shall make a screen for the door of the tabernacle, woven of blue, purple, and scarlet thread, and fine woven linen, made by a weaver."</w:t>
      </w:r>
    </w:p>
    <w:p w14:paraId="07559770" w14:textId="77777777" w:rsidR="006F4650" w:rsidRDefault="006F4650">
      <w:r>
        <w:t>• Exodus 35:15: "...the incense altar, its poles, the anointing oil, the sweet incense, and the screen for the door at the entrance of the tabernacle;"</w:t>
      </w:r>
    </w:p>
    <w:p w14:paraId="71137599" w14:textId="77777777" w:rsidR="006F4650" w:rsidRDefault="006F4650">
      <w:r>
        <w:t>• Exodus 40:28: "He hung up the screen at the door of the tabernacle."</w:t>
      </w:r>
    </w:p>
    <w:p w14:paraId="690E627F" w14:textId="77777777" w:rsidR="006F4650" w:rsidRDefault="006F4650">
      <w:r>
        <w:t>• Numbers 3:25: "The duties of the children of Gershon in the tabernacle of meeting included the tabernacle, the tent with its covering, the screen for the door of the tabernacle of meeting,"</w:t>
      </w:r>
    </w:p>
    <w:p w14:paraId="6EC87E54" w14:textId="77777777" w:rsidR="006F4650" w:rsidRDefault="006F4650"/>
    <w:p w14:paraId="3F54712E" w14:textId="77777777" w:rsidR="006F4650" w:rsidRPr="006F4650" w:rsidRDefault="006F4650">
      <w:pPr>
        <w:rPr>
          <w:b/>
        </w:rPr>
      </w:pPr>
      <w:r w:rsidRPr="006F4650">
        <w:rPr>
          <w:b/>
        </w:rPr>
        <w:t xml:space="preserve"> 7. Other Relevant Insights</w:t>
      </w:r>
    </w:p>
    <w:p w14:paraId="57B6E64B" w14:textId="77777777" w:rsidR="006F4650" w:rsidRDefault="006F4650">
      <w:r>
        <w:t>A notable artistic detail distinguishes the entrance screen (māsāk) from the inner veil (parōket). While both were made of the same royal colors (blue, purple, scarlet) and fine linen, the inner veil was embroidered with cherubim (Exodus 26:31), symbolizing the immediate presence of the heavenly throne room. The entrance screen of the Tabernacle door, however, had no cherubim embroidered upon it (Exodus 26:36). This visual distinction subtly reinforced the varying degrees of sacred space; as one drew physically closer to the Ark of the Covenant, the reminders of heaven's holy guardians became more pronounced.</w:t>
      </w:r>
    </w:p>
    <w:p w14:paraId="089CF7E8" w14:textId="77777777" w:rsidR="006F4650" w:rsidRDefault="006F4650"/>
    <w:p w14:paraId="7623C8B7" w14:textId="77777777" w:rsidR="006F4650" w:rsidRPr="006F4650" w:rsidRDefault="006F4650">
      <w:pPr>
        <w:rPr>
          <w:b/>
        </w:rPr>
      </w:pPr>
      <w:r w:rsidRPr="006F4650">
        <w:rPr>
          <w:b/>
        </w:rPr>
        <w:t xml:space="preserve"> 8. References</w:t>
      </w:r>
    </w:p>
    <w:p w14:paraId="2B9F0273" w14:textId="77777777" w:rsidR="006F4650" w:rsidRDefault="006F4650">
      <w:r>
        <w:t>• Brown, Driver, Briggs Hebrew and English Lexicon</w:t>
      </w:r>
    </w:p>
    <w:p w14:paraId="0E5A73E2" w14:textId="77777777" w:rsidR="006F4650" w:rsidRDefault="006F4650">
      <w:r>
        <w:t>• Hebrew and Aramaic Lexicon of the Old Testament</w:t>
      </w:r>
    </w:p>
    <w:p w14:paraId="405356D9" w14:textId="77777777" w:rsidR="006F4650" w:rsidRDefault="006F4650">
      <w:r>
        <w:t>• Theological Wordbook of the Old Testament</w:t>
      </w:r>
    </w:p>
    <w:p w14:paraId="364F9C59" w14:textId="58379986" w:rsidR="004C5552" w:rsidRDefault="006F4650">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4650"/>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0400"/>
  <w15:chartTrackingRefBased/>
  <w15:docId w15:val="{EEA309F4-7A20-440B-AD83-86C2D67D4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4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4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650"/>
    <w:rPr>
      <w:rFonts w:eastAsiaTheme="majorEastAsia" w:cstheme="majorBidi"/>
      <w:color w:val="272727" w:themeColor="text1" w:themeTint="D8"/>
    </w:rPr>
  </w:style>
  <w:style w:type="paragraph" w:styleId="Title">
    <w:name w:val="Title"/>
    <w:basedOn w:val="Normal"/>
    <w:next w:val="Normal"/>
    <w:link w:val="TitleChar"/>
    <w:uiPriority w:val="10"/>
    <w:qFormat/>
    <w:rsid w:val="006F4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650"/>
    <w:pPr>
      <w:spacing w:before="160"/>
      <w:jc w:val="center"/>
    </w:pPr>
    <w:rPr>
      <w:i/>
      <w:iCs/>
      <w:color w:val="404040" w:themeColor="text1" w:themeTint="BF"/>
    </w:rPr>
  </w:style>
  <w:style w:type="character" w:customStyle="1" w:styleId="QuoteChar">
    <w:name w:val="Quote Char"/>
    <w:basedOn w:val="DefaultParagraphFont"/>
    <w:link w:val="Quote"/>
    <w:uiPriority w:val="29"/>
    <w:rsid w:val="006F4650"/>
    <w:rPr>
      <w:i/>
      <w:iCs/>
      <w:color w:val="404040" w:themeColor="text1" w:themeTint="BF"/>
    </w:rPr>
  </w:style>
  <w:style w:type="paragraph" w:styleId="ListParagraph">
    <w:name w:val="List Paragraph"/>
    <w:basedOn w:val="Normal"/>
    <w:uiPriority w:val="34"/>
    <w:qFormat/>
    <w:rsid w:val="006F4650"/>
    <w:pPr>
      <w:ind w:left="720"/>
      <w:contextualSpacing/>
    </w:pPr>
  </w:style>
  <w:style w:type="character" w:styleId="IntenseEmphasis">
    <w:name w:val="Intense Emphasis"/>
    <w:basedOn w:val="DefaultParagraphFont"/>
    <w:uiPriority w:val="21"/>
    <w:qFormat/>
    <w:rsid w:val="006F4650"/>
    <w:rPr>
      <w:i/>
      <w:iCs/>
      <w:color w:val="2E74B5" w:themeColor="accent1" w:themeShade="BF"/>
    </w:rPr>
  </w:style>
  <w:style w:type="paragraph" w:styleId="IntenseQuote">
    <w:name w:val="Intense Quote"/>
    <w:basedOn w:val="Normal"/>
    <w:next w:val="Normal"/>
    <w:link w:val="IntenseQuoteChar"/>
    <w:uiPriority w:val="30"/>
    <w:qFormat/>
    <w:rsid w:val="006F46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4650"/>
    <w:rPr>
      <w:i/>
      <w:iCs/>
      <w:color w:val="2E74B5" w:themeColor="accent1" w:themeShade="BF"/>
    </w:rPr>
  </w:style>
  <w:style w:type="character" w:styleId="IntenseReference">
    <w:name w:val="Intense Reference"/>
    <w:basedOn w:val="DefaultParagraphFont"/>
    <w:uiPriority w:val="32"/>
    <w:qFormat/>
    <w:rsid w:val="006F46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