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A3A4" w14:textId="77777777" w:rsidR="0047082D" w:rsidRPr="0047082D" w:rsidRDefault="0047082D">
      <w:pPr>
        <w:rPr>
          <w:b/>
        </w:rPr>
      </w:pPr>
      <w:r w:rsidRPr="0047082D">
        <w:rPr>
          <w:b/>
        </w:rPr>
        <w:t xml:space="preserve">BAND - ( </w:t>
      </w:r>
      <w:r w:rsidRPr="0047082D">
        <w:rPr>
          <w:rFonts w:ascii="Calibri" w:hAnsi="Calibri" w:cs="Calibri"/>
          <w:b/>
        </w:rPr>
        <w:t>ḥ</w:t>
      </w:r>
      <w:r w:rsidRPr="0047082D">
        <w:rPr>
          <w:b/>
        </w:rPr>
        <w:t>ēšeb , Strong's H2805 )</w:t>
      </w:r>
    </w:p>
    <w:p w14:paraId="02E6A035" w14:textId="77777777" w:rsidR="0047082D" w:rsidRDefault="0047082D">
      <w:r w:rsidRPr="0047082D">
        <w:rPr>
          <w:b/>
        </w:rPr>
        <w:t>Summary:</w:t>
      </w:r>
    </w:p>
    <w:p w14:paraId="46E0DC70" w14:textId="77777777" w:rsidR="0047082D" w:rsidRDefault="0047082D">
      <w:r>
        <w:t xml:space="preserve">The Hebrew word </w:t>
      </w:r>
      <w:r>
        <w:rPr>
          <w:rFonts w:ascii="Calibri" w:hAnsi="Calibri" w:cs="Calibri"/>
        </w:rPr>
        <w:t>ḥ</w:t>
      </w:r>
      <w:r>
        <w:t>ēšeb refers to the "designed band" or artistically woven waistband of the high priest's ephod. Rooted in a verb meaning "to think, plan, calculate, or design," this word highlights the highly skilled, deliberate craftsmanship required for the tabernacle. In Exodus 39:5, it describes the beautifully ornamented sash that bound the ephod to the high priest, symbolizing both functional readiness for service and the exquisite glory of God's dwelling place.</w:t>
      </w:r>
    </w:p>
    <w:p w14:paraId="26DE4EBE" w14:textId="77777777" w:rsidR="0047082D" w:rsidRDefault="0047082D"/>
    <w:p w14:paraId="715E5960" w14:textId="77777777" w:rsidR="0047082D" w:rsidRDefault="0047082D">
      <w:r w:rsidRPr="0047082D">
        <w:rPr>
          <w:b/>
        </w:rPr>
        <w:t>Full Study:</w:t>
      </w:r>
    </w:p>
    <w:p w14:paraId="1777BDD7" w14:textId="77777777" w:rsidR="0047082D" w:rsidRDefault="0047082D"/>
    <w:p w14:paraId="7BEB8969" w14:textId="77777777" w:rsidR="0047082D" w:rsidRPr="0047082D" w:rsidRDefault="0047082D">
      <w:pPr>
        <w:rPr>
          <w:b/>
        </w:rPr>
      </w:pPr>
      <w:r w:rsidRPr="0047082D">
        <w:rPr>
          <w:b/>
        </w:rPr>
        <w:t>1. Word Picture / Background</w:t>
      </w:r>
    </w:p>
    <w:p w14:paraId="15ADB7AB" w14:textId="77777777" w:rsidR="0047082D" w:rsidRDefault="0047082D">
      <w:r>
        <w:t xml:space="preserve">The noun </w:t>
      </w:r>
      <w:r>
        <w:rPr>
          <w:rFonts w:ascii="Calibri" w:hAnsi="Calibri" w:cs="Calibri"/>
        </w:rPr>
        <w:t>ḥ</w:t>
      </w:r>
      <w:r>
        <w:t xml:space="preserve">ēšeb is derived from the verbal root </w:t>
      </w:r>
      <w:r>
        <w:rPr>
          <w:rFonts w:ascii="Calibri" w:hAnsi="Calibri" w:cs="Calibri"/>
        </w:rPr>
        <w:t>ḥ</w:t>
      </w:r>
      <w:r>
        <w:t xml:space="preserve">āšab, which means "to think, plan, calculate, invent, or value." In the context of ancient craftsmanship, this root refers to the work of a skilled designer or weaver—someone who does not merely produce generic fabric but plans out intricate, artistic patterns. Consequently, the </w:t>
      </w:r>
      <w:r>
        <w:rPr>
          <w:rFonts w:ascii="Calibri" w:hAnsi="Calibri" w:cs="Calibri"/>
        </w:rPr>
        <w:t>ḥ</w:t>
      </w:r>
      <w:r>
        <w:t>ēšeb is not a simple, utilitarian leather strap or basic rope. It is a "thought-out," highly calculated, and beautifully executed piece of textile art. The very construction of the band reflects the wisdom, planning, and intentional design of the Creator, mediated through the hands of Spirit-filled craftsmen like Bezalel and Aholiab.</w:t>
      </w:r>
    </w:p>
    <w:p w14:paraId="78C75F65" w14:textId="77777777" w:rsidR="0047082D" w:rsidRDefault="0047082D"/>
    <w:p w14:paraId="072BBF02" w14:textId="77777777" w:rsidR="0047082D" w:rsidRPr="0047082D" w:rsidRDefault="0047082D">
      <w:pPr>
        <w:rPr>
          <w:b/>
        </w:rPr>
      </w:pPr>
      <w:r w:rsidRPr="0047082D">
        <w:rPr>
          <w:b/>
        </w:rPr>
        <w:t>2. Meaning / Lexical Definition</w:t>
      </w:r>
    </w:p>
    <w:p w14:paraId="23A42DB3" w14:textId="77777777" w:rsidR="0047082D" w:rsidRDefault="0047082D">
      <w:r>
        <w:t xml:space="preserve">• </w:t>
      </w:r>
      <w:r>
        <w:rPr>
          <w:rFonts w:ascii="Calibri" w:hAnsi="Calibri" w:cs="Calibri"/>
        </w:rPr>
        <w:t>Ḥ</w:t>
      </w:r>
      <w:r>
        <w:t>ēšeb refers specifically to the artistic waistband or sash that was structurally integrated into the high priest’s ephod. Lexicons define it as an "artistic band" or "skillfully woven belt." This band was made of the finest and most expensive materials available: gold thread, blue, purple, and scarlet yarn, and fine twisted linen. It was designed to secure the breastplate and the ephod close to the high priest's body, ensuring that the vestments remained in place during his sacred duties in the Tabernacle.</w:t>
      </w:r>
    </w:p>
    <w:p w14:paraId="200669E9" w14:textId="77777777" w:rsidR="0047082D" w:rsidRDefault="0047082D"/>
    <w:p w14:paraId="1B0B6B58" w14:textId="77777777" w:rsidR="0047082D" w:rsidRPr="0047082D" w:rsidRDefault="0047082D">
      <w:pPr>
        <w:rPr>
          <w:b/>
        </w:rPr>
      </w:pPr>
      <w:r w:rsidRPr="0047082D">
        <w:rPr>
          <w:b/>
        </w:rPr>
        <w:t>3. Usage and Word Pictures</w:t>
      </w:r>
    </w:p>
    <w:p w14:paraId="4C7AA693" w14:textId="77777777" w:rsidR="0047082D" w:rsidRDefault="0047082D">
      <w:r>
        <w:t xml:space="preserve">The term </w:t>
      </w:r>
      <w:r>
        <w:rPr>
          <w:rFonts w:ascii="Calibri" w:hAnsi="Calibri" w:cs="Calibri"/>
        </w:rPr>
        <w:t>ḥ</w:t>
      </w:r>
      <w:r>
        <w:t xml:space="preserve">ēšeb occurs only eight times in the Old Testament, and its usage is strictly limited to the descriptions of the high priest's sacred garments in the books of Exodus and Leviticus. </w:t>
      </w:r>
    </w:p>
    <w:p w14:paraId="772C6269" w14:textId="77777777" w:rsidR="0047082D" w:rsidRDefault="0047082D">
      <w:r>
        <w:t>• The primary word picture associated with this band is that of "girding" for service. In the ancient Near East, to gird oneself with a belt or sash was to prepare for active, rigorous duty.</w:t>
      </w:r>
    </w:p>
    <w:p w14:paraId="7E46A7F0" w14:textId="77777777" w:rsidR="0047082D" w:rsidRDefault="0047082D">
      <w:r>
        <w:t>• However, unlike the common belt of a laborer, this band was gloriously adorned. It paints a picture of a servant who is not only ready to work but is clothed in the dignity, beauty, and authority of the King he serves.</w:t>
      </w:r>
    </w:p>
    <w:p w14:paraId="75CF6F3D" w14:textId="77777777" w:rsidR="0047082D" w:rsidRDefault="0047082D">
      <w:r>
        <w:t>• Because it was woven as part of the ephod itself, it represents seamless integrity—there were no loose, disconnected pieces in the clothing of holiness.</w:t>
      </w:r>
    </w:p>
    <w:p w14:paraId="302CA9AC" w14:textId="77777777" w:rsidR="0047082D" w:rsidRDefault="0047082D"/>
    <w:p w14:paraId="121F67B9" w14:textId="77777777" w:rsidR="0047082D" w:rsidRPr="0047082D" w:rsidRDefault="0047082D">
      <w:pPr>
        <w:rPr>
          <w:b/>
        </w:rPr>
      </w:pPr>
      <w:r w:rsidRPr="0047082D">
        <w:rPr>
          <w:b/>
        </w:rPr>
        <w:t>4. Theological Implications</w:t>
      </w:r>
    </w:p>
    <w:p w14:paraId="3B210B4A" w14:textId="77777777" w:rsidR="0047082D" w:rsidRDefault="0047082D">
      <w:r>
        <w:t xml:space="preserve">The meticulous design of the </w:t>
      </w:r>
      <w:r>
        <w:rPr>
          <w:rFonts w:ascii="Calibri" w:hAnsi="Calibri" w:cs="Calibri"/>
        </w:rPr>
        <w:t>ḥ</w:t>
      </w:r>
      <w:r>
        <w:t>ēšeb carries profound theological weight:</w:t>
      </w:r>
    </w:p>
    <w:p w14:paraId="3BA4FE41" w14:textId="77777777" w:rsidR="0047082D" w:rsidRDefault="0047082D">
      <w:r>
        <w:t>• The Beauty of Holiness: God is deeply concerned with order, beauty, and excellence. The high priest's garments were designed "for glory and for beauty" (Exodus 28:2). Every thread of the band testified to God’s magnificent character.</w:t>
      </w:r>
    </w:p>
    <w:p w14:paraId="33DBD7F7" w14:textId="77777777" w:rsidR="0047082D" w:rsidRDefault="0047082D">
      <w:r>
        <w:t>• Preparedness for Divine Service: The high priest could not minister effectively without being properly girded. This prefigures the ultimate High Priest, Jesus Christ, who is described in prophecy as being girded with righteousness and faithfulness (Isaiah 11:5), and who appeared to John in the Revelation girded about the chest with a golden band (Revelation 1:13).</w:t>
      </w:r>
    </w:p>
    <w:p w14:paraId="79D7E34F" w14:textId="77777777" w:rsidR="0047082D" w:rsidRDefault="0047082D">
      <w:r>
        <w:t xml:space="preserve">• The Divine Artisan: The connection to the root </w:t>
      </w:r>
      <w:r>
        <w:rPr>
          <w:rFonts w:ascii="Calibri" w:hAnsi="Calibri" w:cs="Calibri"/>
        </w:rPr>
        <w:t>ḥ</w:t>
      </w:r>
      <w:r>
        <w:t>āšab (to plan/think) reminds us that worship is not an afterthought. God’s redemptive plan is meticulously calculated and beautifully woven together, just like the high priest's band.</w:t>
      </w:r>
    </w:p>
    <w:p w14:paraId="099370D0" w14:textId="77777777" w:rsidR="0047082D" w:rsidRDefault="0047082D"/>
    <w:p w14:paraId="6DD2CA0D" w14:textId="77777777" w:rsidR="0047082D" w:rsidRPr="0047082D" w:rsidRDefault="0047082D">
      <w:pPr>
        <w:rPr>
          <w:b/>
        </w:rPr>
      </w:pPr>
      <w:r w:rsidRPr="0047082D">
        <w:rPr>
          <w:b/>
        </w:rPr>
        <w:t>5. Contextual Nuance in the Passage</w:t>
      </w:r>
    </w:p>
    <w:p w14:paraId="3C8FA726" w14:textId="77777777" w:rsidR="0047082D" w:rsidRDefault="0047082D">
      <w:r>
        <w:t>In Exodus 39:5, the text describes the fulfillment of the construction of the ephod's band. A key phrase in this verse is that the band was "of the same workmanship and woven of the same piece with it." This detail emphasizes unity and structural integrity. The band was not an accessory buckled on afterward; it was an inseparable part of the ephod. This seamless construction speaks to the undivided devotion required of the high priest. Furthermore, this chapter repeatedly emphasizes the phrase, "as the LORD had commanded Moses." The execution of this artistic band was an act of precise, loving obedience to God’s specific blueprint.</w:t>
      </w:r>
    </w:p>
    <w:p w14:paraId="65EF65BB" w14:textId="77777777" w:rsidR="0047082D" w:rsidRDefault="0047082D"/>
    <w:p w14:paraId="300B9AE8" w14:textId="77777777" w:rsidR="0047082D" w:rsidRPr="0047082D" w:rsidRDefault="0047082D">
      <w:pPr>
        <w:rPr>
          <w:b/>
        </w:rPr>
      </w:pPr>
      <w:r w:rsidRPr="0047082D">
        <w:rPr>
          <w:b/>
        </w:rPr>
        <w:t>6. Key Uses in Other Verses (NKJV)</w:t>
      </w:r>
    </w:p>
    <w:p w14:paraId="2391F2FF" w14:textId="77777777" w:rsidR="0047082D" w:rsidRDefault="0047082D">
      <w:r>
        <w:t>• Exodus 28:8 - "And the designed band of his ephod, which is on it, shall be of the same workmanship, woven of the same piece..."</w:t>
      </w:r>
    </w:p>
    <w:p w14:paraId="47144821" w14:textId="77777777" w:rsidR="0047082D" w:rsidRDefault="0047082D">
      <w:r>
        <w:t>• Exodus 29:5 - "...and gird him with the designed band of the ephod."</w:t>
      </w:r>
    </w:p>
    <w:p w14:paraId="1480C1B3" w14:textId="77777777" w:rsidR="0047082D" w:rsidRDefault="0047082D">
      <w:r>
        <w:t>• Leviticus 8:7 - "And he put the tunic on him, girded him with the sash... and girded him with the designed band of the ephod..."</w:t>
      </w:r>
    </w:p>
    <w:p w14:paraId="7ECBC852" w14:textId="77777777" w:rsidR="0047082D" w:rsidRDefault="0047082D"/>
    <w:p w14:paraId="6F029672" w14:textId="77777777" w:rsidR="0047082D" w:rsidRPr="0047082D" w:rsidRDefault="0047082D">
      <w:pPr>
        <w:rPr>
          <w:b/>
        </w:rPr>
      </w:pPr>
      <w:r w:rsidRPr="0047082D">
        <w:rPr>
          <w:b/>
        </w:rPr>
        <w:t>7. Other Relevant Insights</w:t>
      </w:r>
    </w:p>
    <w:p w14:paraId="2B8911E0" w14:textId="77777777" w:rsidR="0047082D" w:rsidRDefault="0047082D">
      <w:r>
        <w:t>There is a beautiful conceptual link between the craftsman’s "thinking/planning" (</w:t>
      </w:r>
      <w:r>
        <w:rPr>
          <w:rFonts w:ascii="Calibri" w:hAnsi="Calibri" w:cs="Calibri"/>
        </w:rPr>
        <w:t>ḥ</w:t>
      </w:r>
      <w:r>
        <w:t xml:space="preserve">āšab) of the band and how God "thinks upon" His people. The high priest wore the names of the twelve tribes of Israel engraved on precious stones on his shoulders and over his heart, held fast by the very ephod that this band secured. Just as the craftsman thoughtfully planned every thread of the </w:t>
      </w:r>
      <w:r>
        <w:rPr>
          <w:rFonts w:ascii="Calibri" w:hAnsi="Calibri" w:cs="Calibri"/>
        </w:rPr>
        <w:t>ḥ</w:t>
      </w:r>
      <w:r>
        <w:t>ēšeb, so God has meticulously planned the care, representation, and redemption of His people. Our position before God is secure, bound by the perfect, finished work of our Great High Priest.</w:t>
      </w:r>
    </w:p>
    <w:p w14:paraId="6E6C82BC" w14:textId="77777777" w:rsidR="0047082D" w:rsidRDefault="0047082D"/>
    <w:p w14:paraId="623F1474" w14:textId="77777777" w:rsidR="0047082D" w:rsidRPr="0047082D" w:rsidRDefault="0047082D">
      <w:pPr>
        <w:rPr>
          <w:b/>
        </w:rPr>
      </w:pPr>
      <w:r w:rsidRPr="0047082D">
        <w:rPr>
          <w:b/>
        </w:rPr>
        <w:t>8. References</w:t>
      </w:r>
    </w:p>
    <w:p w14:paraId="151A9C43" w14:textId="77777777" w:rsidR="0047082D" w:rsidRDefault="0047082D">
      <w:r>
        <w:t>• Brown-Driver-Briggs Hebrew and English Lexicon</w:t>
      </w:r>
    </w:p>
    <w:p w14:paraId="6DD5255D" w14:textId="77777777" w:rsidR="0047082D" w:rsidRDefault="0047082D">
      <w:r>
        <w:t>• Theological Wordbook of the Old Testament</w:t>
      </w:r>
    </w:p>
    <w:p w14:paraId="231E69E7" w14:textId="77777777" w:rsidR="0047082D" w:rsidRDefault="0047082D">
      <w:r>
        <w:t>• Hebrew and Aramaic Lexicon of the Old Testament</w:t>
      </w:r>
    </w:p>
    <w:p w14:paraId="71CC91EC" w14:textId="77777777" w:rsidR="0047082D" w:rsidRDefault="0047082D">
      <w:r>
        <w:t>• Vine's Complete Expository Dictionary of Old and New Testament Words</w:t>
      </w:r>
    </w:p>
    <w:p w14:paraId="61F4D5BA" w14:textId="5006EC5E" w:rsidR="004C5552" w:rsidRDefault="0047082D">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082D"/>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86D6"/>
  <w15:chartTrackingRefBased/>
  <w15:docId w15:val="{170018DD-37A8-4BB0-A1E2-6B5F6B186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0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0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82D"/>
    <w:rPr>
      <w:rFonts w:eastAsiaTheme="majorEastAsia" w:cstheme="majorBidi"/>
      <w:color w:val="272727" w:themeColor="text1" w:themeTint="D8"/>
    </w:rPr>
  </w:style>
  <w:style w:type="paragraph" w:styleId="Title">
    <w:name w:val="Title"/>
    <w:basedOn w:val="Normal"/>
    <w:next w:val="Normal"/>
    <w:link w:val="TitleChar"/>
    <w:uiPriority w:val="10"/>
    <w:qFormat/>
    <w:rsid w:val="00470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82D"/>
    <w:pPr>
      <w:spacing w:before="160"/>
      <w:jc w:val="center"/>
    </w:pPr>
    <w:rPr>
      <w:i/>
      <w:iCs/>
      <w:color w:val="404040" w:themeColor="text1" w:themeTint="BF"/>
    </w:rPr>
  </w:style>
  <w:style w:type="character" w:customStyle="1" w:styleId="QuoteChar">
    <w:name w:val="Quote Char"/>
    <w:basedOn w:val="DefaultParagraphFont"/>
    <w:link w:val="Quote"/>
    <w:uiPriority w:val="29"/>
    <w:rsid w:val="0047082D"/>
    <w:rPr>
      <w:i/>
      <w:iCs/>
      <w:color w:val="404040" w:themeColor="text1" w:themeTint="BF"/>
    </w:rPr>
  </w:style>
  <w:style w:type="paragraph" w:styleId="ListParagraph">
    <w:name w:val="List Paragraph"/>
    <w:basedOn w:val="Normal"/>
    <w:uiPriority w:val="34"/>
    <w:qFormat/>
    <w:rsid w:val="0047082D"/>
    <w:pPr>
      <w:ind w:left="720"/>
      <w:contextualSpacing/>
    </w:pPr>
  </w:style>
  <w:style w:type="character" w:styleId="IntenseEmphasis">
    <w:name w:val="Intense Emphasis"/>
    <w:basedOn w:val="DefaultParagraphFont"/>
    <w:uiPriority w:val="21"/>
    <w:qFormat/>
    <w:rsid w:val="0047082D"/>
    <w:rPr>
      <w:i/>
      <w:iCs/>
      <w:color w:val="2E74B5" w:themeColor="accent1" w:themeShade="BF"/>
    </w:rPr>
  </w:style>
  <w:style w:type="paragraph" w:styleId="IntenseQuote">
    <w:name w:val="Intense Quote"/>
    <w:basedOn w:val="Normal"/>
    <w:next w:val="Normal"/>
    <w:link w:val="IntenseQuoteChar"/>
    <w:uiPriority w:val="30"/>
    <w:qFormat/>
    <w:rsid w:val="004708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082D"/>
    <w:rPr>
      <w:i/>
      <w:iCs/>
      <w:color w:val="2E74B5" w:themeColor="accent1" w:themeShade="BF"/>
    </w:rPr>
  </w:style>
  <w:style w:type="character" w:styleId="IntenseReference">
    <w:name w:val="Intense Reference"/>
    <w:basedOn w:val="DefaultParagraphFont"/>
    <w:uiPriority w:val="32"/>
    <w:qFormat/>
    <w:rsid w:val="004708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812</Words>
  <Characters>4632</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2026-08-14T11:34:00Z</dcterms:modified>
</cp:coreProperties>
</file>