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651F1" w14:textId="77777777" w:rsidR="00AC2BA0" w:rsidRPr="00AC2BA0" w:rsidRDefault="00AC2BA0">
      <w:pPr>
        <w:rPr>
          <w:b/>
        </w:rPr>
      </w:pPr>
      <w:r w:rsidRPr="00AC2BA0">
        <w:rPr>
          <w:b/>
        </w:rPr>
        <w:t>MEMORIAL - ( zikkārôn , Strong's H2146 )</w:t>
      </w:r>
    </w:p>
    <w:p w14:paraId="65C5E5D2" w14:textId="77777777" w:rsidR="00AC2BA0" w:rsidRDefault="00AC2BA0">
      <w:r w:rsidRPr="00AC2BA0">
        <w:rPr>
          <w:b/>
        </w:rPr>
        <w:t>Summary:</w:t>
      </w:r>
    </w:p>
    <w:p w14:paraId="7CFA40C6" w14:textId="77777777" w:rsidR="00AC2BA0" w:rsidRDefault="00AC2BA0">
      <w:r>
        <w:t>The Hebrew noun zikkārôn refers to a memorial, remembrance, or token that keeps a person, event, or covenant active in the mind of God or His people. In Exodus 39:7, it describes the two onyx stones engraved with the names of the tribes of Israel, set on the shoulders of the high priest's ephod. These "memorial stones" served as a visible reminder that the high priest represented the entire nation before Yahweh, ensuring they were continually remembered in His holy presence.</w:t>
      </w:r>
    </w:p>
    <w:p w14:paraId="6F63D6DB" w14:textId="77777777" w:rsidR="00AC2BA0" w:rsidRDefault="00AC2BA0"/>
    <w:p w14:paraId="17A9D20B" w14:textId="77777777" w:rsidR="00AC2BA0" w:rsidRDefault="00AC2BA0">
      <w:r w:rsidRPr="00AC2BA0">
        <w:rPr>
          <w:b/>
        </w:rPr>
        <w:t>Full Study:</w:t>
      </w:r>
    </w:p>
    <w:p w14:paraId="32195412" w14:textId="77777777" w:rsidR="00AC2BA0" w:rsidRDefault="00AC2BA0"/>
    <w:p w14:paraId="72761629" w14:textId="77777777" w:rsidR="00AC2BA0" w:rsidRPr="00AC2BA0" w:rsidRDefault="00AC2BA0">
      <w:pPr>
        <w:rPr>
          <w:b/>
        </w:rPr>
      </w:pPr>
      <w:r w:rsidRPr="00AC2BA0">
        <w:rPr>
          <w:b/>
        </w:rPr>
        <w:t>1. Word Picture / Background</w:t>
      </w:r>
    </w:p>
    <w:p w14:paraId="3F4B71BA" w14:textId="77777777" w:rsidR="00AC2BA0" w:rsidRDefault="00AC2BA0">
      <w:r>
        <w:t>The noun zikkārôn is derived from the primary verb zākar, which means "to remember" or "to call to mind." In the ancient Near Eastern world, memory was not merely a cognitive or intellectual exercise. To remember was to act on behalf of the person or covenant remembered. A zikkārôn is a physical object, a designated day, or a specific practice designed to trigger that memory and prompt relational action. On the high priest's shoulders, the engraved onyx stones were not passive decorations; they were functional, representative symbols meant to actively keep the twelve tribes before the eyes of God.</w:t>
      </w:r>
    </w:p>
    <w:p w14:paraId="37C45ECB" w14:textId="77777777" w:rsidR="00AC2BA0" w:rsidRDefault="00AC2BA0"/>
    <w:p w14:paraId="4790EEFD" w14:textId="77777777" w:rsidR="00AC2BA0" w:rsidRPr="00AC2BA0" w:rsidRDefault="00AC2BA0">
      <w:pPr>
        <w:rPr>
          <w:b/>
        </w:rPr>
      </w:pPr>
      <w:r w:rsidRPr="00AC2BA0">
        <w:rPr>
          <w:b/>
        </w:rPr>
        <w:t>2. Meaning / Lexical Definition</w:t>
      </w:r>
    </w:p>
    <w:p w14:paraId="533174F2" w14:textId="77777777" w:rsidR="00AC2BA0" w:rsidRDefault="00AC2BA0">
      <w:r>
        <w:t>The term zikkārôn denotes a memorial, remembrance, reminder, or commemorative token. It is used in several distinct ways across the Old Testament:</w:t>
      </w:r>
    </w:p>
    <w:p w14:paraId="292E7F1C" w14:textId="77777777" w:rsidR="00AC2BA0" w:rsidRDefault="00AC2BA0">
      <w:r>
        <w:t>• As a physical object or sign to remind people of God's acts (such as the stones taken from the Jordan River in Joshua 4:7).</w:t>
      </w:r>
    </w:p>
    <w:p w14:paraId="7F72AD60" w14:textId="77777777" w:rsidR="00AC2BA0" w:rsidRDefault="00AC2BA0">
      <w:r>
        <w:t>• As a visual reminder before God to prompt His favorable action toward His covenant people (such as the priestly garments in Exodus 39:7).</w:t>
      </w:r>
    </w:p>
    <w:p w14:paraId="52D0B914" w14:textId="77777777" w:rsidR="00AC2BA0" w:rsidRDefault="00AC2BA0">
      <w:r>
        <w:t>• As a memorial day or festival to be observed throughout generations (such as the Passover in Exodus 12:14).</w:t>
      </w:r>
    </w:p>
    <w:p w14:paraId="1F9C85C3" w14:textId="77777777" w:rsidR="00AC2BA0" w:rsidRDefault="00AC2BA0">
      <w:r>
        <w:t>• As a written record or book of remembrance (such as the scroll of remembrance in Malachi 3:16).</w:t>
      </w:r>
    </w:p>
    <w:p w14:paraId="5222A80A" w14:textId="77777777" w:rsidR="00AC2BA0" w:rsidRDefault="00AC2BA0"/>
    <w:p w14:paraId="7C47AAEF" w14:textId="77777777" w:rsidR="00AC2BA0" w:rsidRPr="00AC2BA0" w:rsidRDefault="00AC2BA0">
      <w:pPr>
        <w:rPr>
          <w:b/>
        </w:rPr>
      </w:pPr>
      <w:r w:rsidRPr="00AC2BA0">
        <w:rPr>
          <w:b/>
        </w:rPr>
        <w:t>3. Usage and Word Pictures</w:t>
      </w:r>
    </w:p>
    <w:p w14:paraId="11C87598" w14:textId="77777777" w:rsidR="00AC2BA0" w:rsidRDefault="00AC2BA0">
      <w:r>
        <w:t xml:space="preserve">In the design of the Tabernacle and the priestly garments, representation is central. The high priest carried two distinct zikkārôn elements. First, he wore two onyx stones on his shoulders, engraved with the names of the twelve tribes (six on each stone). Second, he wore the breastplate over his heart, containing twelve distinct gemstones representing the twelve tribes. </w:t>
      </w:r>
    </w:p>
    <w:p w14:paraId="2EA9EB9C" w14:textId="77777777" w:rsidR="00AC2BA0" w:rsidRDefault="00AC2BA0">
      <w:r>
        <w:t>The word picture is powerful: the high priest carried the people of God on his shoulders—the place of strength, support, and burden-bearing—and on his heart—the place of love, affection, and intimacy. Whenever he entered the Holy Place, he presented the entire nation before the Lord, securing God's ongoing favor and covenant faithfulness for them.</w:t>
      </w:r>
    </w:p>
    <w:p w14:paraId="406F838D" w14:textId="77777777" w:rsidR="00AC2BA0" w:rsidRDefault="00AC2BA0"/>
    <w:p w14:paraId="27F17860" w14:textId="77777777" w:rsidR="00AC2BA0" w:rsidRPr="00AC2BA0" w:rsidRDefault="00AC2BA0">
      <w:pPr>
        <w:rPr>
          <w:b/>
        </w:rPr>
      </w:pPr>
      <w:r w:rsidRPr="00AC2BA0">
        <w:rPr>
          <w:b/>
        </w:rPr>
        <w:t>4. Theological Implications</w:t>
      </w:r>
    </w:p>
    <w:p w14:paraId="0AB38B40" w14:textId="77777777" w:rsidR="00AC2BA0" w:rsidRDefault="00AC2BA0">
      <w:r>
        <w:t xml:space="preserve">The theological significance of zikkārôn centers on the covenant relationship between Yahweh and Israel. God does not suffer from amnesia; He does not literally need a physical reminder to avoid forgetting His people. Rather, the memorial is an objective testimony of the covenant. When God "remembers," He acts in accordance with His previous promises (as when He "remembered" Noah in the ark or "remembered" His covenant with Abraham while Israel was in Egypt). </w:t>
      </w:r>
    </w:p>
    <w:p w14:paraId="1E7015A4" w14:textId="77777777" w:rsidR="00AC2BA0" w:rsidRDefault="00AC2BA0">
      <w:r>
        <w:t>Furthermore, the zikkārôn on the ephod highlights the necessity of mediation. Sinful people cannot enter the immediate presence of a holy God on their own. They must enter through a representative mediator who carries their names before the throne of grace. This directly foreshadows Jesus Christ, the Great High Priest, who bears the names of His people eternally before the Father, living always to make intercession for them (Hebrews 7:25).</w:t>
      </w:r>
    </w:p>
    <w:p w14:paraId="55A17956" w14:textId="77777777" w:rsidR="00AC2BA0" w:rsidRDefault="00AC2BA0"/>
    <w:p w14:paraId="0043CDE8" w14:textId="77777777" w:rsidR="00AC2BA0" w:rsidRPr="00AC2BA0" w:rsidRDefault="00AC2BA0">
      <w:pPr>
        <w:rPr>
          <w:b/>
        </w:rPr>
      </w:pPr>
      <w:r w:rsidRPr="00AC2BA0">
        <w:rPr>
          <w:b/>
        </w:rPr>
        <w:t>5. Contextual Nuance in the Passage</w:t>
      </w:r>
    </w:p>
    <w:p w14:paraId="606E7E78" w14:textId="77777777" w:rsidR="00AC2BA0" w:rsidRDefault="00AC2BA0">
      <w:r>
        <w:t>In Exodus 39:7, the craftsmen are completing the holy garments for Aaron exactly as the Lord commanded Moses. The repetition of the phrase "as the LORD had commanded Moses" throughout this chapter emphasizes absolute obedience to the divine pattern. The placement of these onyx stones on the shoulder straps of the ephod was not a creative design choice by Bezalel; it was a specific, divinely ordained apparatus. By designating these as "memorial stones for the children of Israel," God assured His people that they were constantly represented, protected, and kept in His sight when the high priest performed his duties.</w:t>
      </w:r>
    </w:p>
    <w:p w14:paraId="59D1A827" w14:textId="77777777" w:rsidR="00AC2BA0" w:rsidRDefault="00AC2BA0"/>
    <w:p w14:paraId="5E8C8906" w14:textId="77777777" w:rsidR="00AC2BA0" w:rsidRPr="00AC2BA0" w:rsidRDefault="00AC2BA0">
      <w:pPr>
        <w:rPr>
          <w:b/>
        </w:rPr>
      </w:pPr>
      <w:r w:rsidRPr="00AC2BA0">
        <w:rPr>
          <w:b/>
        </w:rPr>
        <w:t>6. Key Uses in Other Verses (NKJV)</w:t>
      </w:r>
    </w:p>
    <w:p w14:paraId="33024933" w14:textId="77777777" w:rsidR="00AC2BA0" w:rsidRDefault="00AC2BA0">
      <w:r>
        <w:t>• Exodus 12:14 - "So this day shall be to you a memorial; and you shall keep it as a feast to the Lord..."</w:t>
      </w:r>
    </w:p>
    <w:p w14:paraId="0CFB9B53" w14:textId="77777777" w:rsidR="00AC2BA0" w:rsidRDefault="00AC2BA0">
      <w:r>
        <w:t>• Exodus 28:12 - "And you shall put the two stones on the shoulders of the ephod as memorial stones for the sons of Israel."</w:t>
      </w:r>
    </w:p>
    <w:p w14:paraId="45C5040D" w14:textId="77777777" w:rsidR="00AC2BA0" w:rsidRDefault="00AC2BA0">
      <w:r>
        <w:t>• Joshua 4:7 - "...And these stones shall be for a memorial to the children of Israel forever."</w:t>
      </w:r>
    </w:p>
    <w:p w14:paraId="4A3F59A1" w14:textId="77777777" w:rsidR="00AC2BA0" w:rsidRDefault="00AC2BA0">
      <w:r>
        <w:t>• Zechariah 6:14 - "Now the elaborate crown shall be for a memorial in the temple of the Lord..."</w:t>
      </w:r>
    </w:p>
    <w:p w14:paraId="6E66408B" w14:textId="77777777" w:rsidR="00AC2BA0" w:rsidRDefault="00AC2BA0"/>
    <w:p w14:paraId="66A2F215" w14:textId="77777777" w:rsidR="00AC2BA0" w:rsidRPr="00AC2BA0" w:rsidRDefault="00AC2BA0">
      <w:pPr>
        <w:rPr>
          <w:b/>
        </w:rPr>
      </w:pPr>
      <w:r w:rsidRPr="00AC2BA0">
        <w:rPr>
          <w:b/>
        </w:rPr>
        <w:t>7. Other Relevant Insights</w:t>
      </w:r>
    </w:p>
    <w:p w14:paraId="1E6598D4" w14:textId="77777777" w:rsidR="00AC2BA0" w:rsidRDefault="00AC2BA0">
      <w:r>
        <w:t>In the Greek translation of the Old Testament (the Septuagint), zikkārôn is frequently translated using words from the mnēmosynon family. This same concept carries over into the New Testament. For instance, when Cornelius’s prayers and alms are described as rising up as a "memorial" before God (Acts 10:4), it utilizes this same covenantal framework. Similarly, when Jesus institutes the Lord's Supper, He commands His disciples to "do this in remembrance of Me" (anamnēsis), establishing a New Covenant zikkārôn where believers proclaim His death and participate in His benefits until He returns.</w:t>
      </w:r>
    </w:p>
    <w:p w14:paraId="5BD43AC7" w14:textId="77777777" w:rsidR="00AC2BA0" w:rsidRDefault="00AC2BA0"/>
    <w:p w14:paraId="621A1BA5" w14:textId="77777777" w:rsidR="00AC2BA0" w:rsidRPr="00AC2BA0" w:rsidRDefault="00AC2BA0">
      <w:pPr>
        <w:rPr>
          <w:b/>
        </w:rPr>
      </w:pPr>
      <w:r w:rsidRPr="00AC2BA0">
        <w:rPr>
          <w:b/>
        </w:rPr>
        <w:t>8. References</w:t>
      </w:r>
    </w:p>
    <w:p w14:paraId="7FDA4440" w14:textId="77777777" w:rsidR="00AC2BA0" w:rsidRDefault="00AC2BA0">
      <w:r>
        <w:t>• Brown-Driver-Briggs Hebrew and English Lexicon</w:t>
      </w:r>
    </w:p>
    <w:p w14:paraId="4949EF6F" w14:textId="77777777" w:rsidR="00AC2BA0" w:rsidRDefault="00AC2BA0">
      <w:r>
        <w:t>• Theological Wordbook of the Old Testament</w:t>
      </w:r>
    </w:p>
    <w:p w14:paraId="499F0E2D" w14:textId="77777777" w:rsidR="00AC2BA0" w:rsidRDefault="00AC2BA0">
      <w:r>
        <w:t>• New International Dictionary of Old Testament Theology and Exegesis</w:t>
      </w:r>
    </w:p>
    <w:p w14:paraId="06B25C59" w14:textId="77777777" w:rsidR="00AC2BA0" w:rsidRDefault="00AC2BA0">
      <w:r>
        <w:t>• Hebrew and Aramaic Lexicon of the Old Testament by Koehler, Baumgartner, and Stamm</w:t>
      </w:r>
    </w:p>
    <w:p w14:paraId="490E3004" w14:textId="038D6960" w:rsidR="004C5552" w:rsidRDefault="00AC2BA0">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BA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C2BA0"/>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85C6F"/>
  <w15:chartTrackingRefBased/>
  <w15:docId w15:val="{D362FBD5-10BB-4B12-BF1B-624AC0BBB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C2B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B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B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B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C2B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B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B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BA0"/>
    <w:rPr>
      <w:rFonts w:eastAsiaTheme="majorEastAsia" w:cstheme="majorBidi"/>
      <w:color w:val="272727" w:themeColor="text1" w:themeTint="D8"/>
    </w:rPr>
  </w:style>
  <w:style w:type="paragraph" w:styleId="Title">
    <w:name w:val="Title"/>
    <w:basedOn w:val="Normal"/>
    <w:next w:val="Normal"/>
    <w:link w:val="TitleChar"/>
    <w:uiPriority w:val="10"/>
    <w:qFormat/>
    <w:rsid w:val="00AC2B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B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B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B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BA0"/>
    <w:pPr>
      <w:spacing w:before="160"/>
      <w:jc w:val="center"/>
    </w:pPr>
    <w:rPr>
      <w:i/>
      <w:iCs/>
      <w:color w:val="404040" w:themeColor="text1" w:themeTint="BF"/>
    </w:rPr>
  </w:style>
  <w:style w:type="character" w:customStyle="1" w:styleId="QuoteChar">
    <w:name w:val="Quote Char"/>
    <w:basedOn w:val="DefaultParagraphFont"/>
    <w:link w:val="Quote"/>
    <w:uiPriority w:val="29"/>
    <w:rsid w:val="00AC2BA0"/>
    <w:rPr>
      <w:i/>
      <w:iCs/>
      <w:color w:val="404040" w:themeColor="text1" w:themeTint="BF"/>
    </w:rPr>
  </w:style>
  <w:style w:type="paragraph" w:styleId="ListParagraph">
    <w:name w:val="List Paragraph"/>
    <w:basedOn w:val="Normal"/>
    <w:uiPriority w:val="34"/>
    <w:qFormat/>
    <w:rsid w:val="00AC2BA0"/>
    <w:pPr>
      <w:ind w:left="720"/>
      <w:contextualSpacing/>
    </w:pPr>
  </w:style>
  <w:style w:type="character" w:styleId="IntenseEmphasis">
    <w:name w:val="Intense Emphasis"/>
    <w:basedOn w:val="DefaultParagraphFont"/>
    <w:uiPriority w:val="21"/>
    <w:qFormat/>
    <w:rsid w:val="00AC2BA0"/>
    <w:rPr>
      <w:i/>
      <w:iCs/>
      <w:color w:val="2E74B5" w:themeColor="accent1" w:themeShade="BF"/>
    </w:rPr>
  </w:style>
  <w:style w:type="paragraph" w:styleId="IntenseQuote">
    <w:name w:val="Intense Quote"/>
    <w:basedOn w:val="Normal"/>
    <w:next w:val="Normal"/>
    <w:link w:val="IntenseQuoteChar"/>
    <w:uiPriority w:val="30"/>
    <w:qFormat/>
    <w:rsid w:val="00AC2BA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C2BA0"/>
    <w:rPr>
      <w:i/>
      <w:iCs/>
      <w:color w:val="2E74B5" w:themeColor="accent1" w:themeShade="BF"/>
    </w:rPr>
  </w:style>
  <w:style w:type="character" w:styleId="IntenseReference">
    <w:name w:val="Intense Reference"/>
    <w:basedOn w:val="DefaultParagraphFont"/>
    <w:uiPriority w:val="32"/>
    <w:qFormat/>
    <w:rsid w:val="00AC2BA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835</Words>
  <Characters>4761</Characters>
  <Application>Microsoft Office Word</Application>
  <DocSecurity>0</DocSecurity>
  <Lines>39</Lines>
  <Paragraphs>11</Paragraphs>
  <ScaleCrop>false</ScaleCrop>
  <Company/>
  <LinksUpToDate>false</LinksUpToDate>
  <CharactersWithSpaces>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2026-08-14T11:34:00Z</dcterms:created>
  <dcterms:modified xsi:type="dcterms:W3CDTF">2026-08-14T11:34:00Z</dcterms:modified>
</cp:coreProperties>
</file>