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9685" w14:textId="77777777" w:rsidR="00EB1288" w:rsidRPr="00EB1288" w:rsidRDefault="00EB1288">
      <w:pPr>
        <w:rPr>
          <w:b/>
        </w:rPr>
      </w:pPr>
      <w:r w:rsidRPr="00EB1288">
        <w:rPr>
          <w:b/>
        </w:rPr>
        <w:t>MOST HOLY - ( qōdeš , Strong's H6944 )</w:t>
      </w:r>
    </w:p>
    <w:p w14:paraId="1F1230B3" w14:textId="77777777" w:rsidR="00EB1288" w:rsidRDefault="00EB1288">
      <w:r w:rsidRPr="00EB1288">
        <w:rPr>
          <w:b/>
        </w:rPr>
        <w:t>Summary:</w:t>
      </w:r>
    </w:p>
    <w:p w14:paraId="24DFE86B" w14:textId="77777777" w:rsidR="00EB1288" w:rsidRDefault="00EB1288">
      <w:r>
        <w:t>The Hebrew noun qōdeš refers to holiness, sacredness, or a consecrated thing, deriving from a root meaning to set apart or separate from common use. In Exodus 40:10, this noun is repeated in a superlative genitive construction (qōdeš qodāšîm, literally "holiness of holinesses"), translated as "most holy." This designation places the altar of burnt offering in the highest category of sacredness within the Tabernacle. It signifies that the altar is utterly reserved for Yahweh, serving as the exclusive, consecrated site where sinful humanity meets a holy God through sacrifice.</w:t>
      </w:r>
    </w:p>
    <w:p w14:paraId="13AFAEB0" w14:textId="77777777" w:rsidR="00EB1288" w:rsidRDefault="00EB1288"/>
    <w:p w14:paraId="3F161E39" w14:textId="77777777" w:rsidR="00EB1288" w:rsidRDefault="00EB1288">
      <w:r w:rsidRPr="00EB1288">
        <w:rPr>
          <w:b/>
        </w:rPr>
        <w:t>Full Study:</w:t>
      </w:r>
    </w:p>
    <w:p w14:paraId="5E4842C3" w14:textId="77777777" w:rsidR="00EB1288" w:rsidRDefault="00EB1288"/>
    <w:p w14:paraId="56CA92C9" w14:textId="77777777" w:rsidR="00EB1288" w:rsidRPr="00EB1288" w:rsidRDefault="00EB1288">
      <w:pPr>
        <w:rPr>
          <w:b/>
        </w:rPr>
      </w:pPr>
      <w:r w:rsidRPr="00EB1288">
        <w:rPr>
          <w:b/>
        </w:rPr>
        <w:t xml:space="preserve"> 1. Word Picture / Background</w:t>
      </w:r>
    </w:p>
    <w:p w14:paraId="4EA37613" w14:textId="77777777" w:rsidR="00EB1288" w:rsidRDefault="00EB1288">
      <w:r>
        <w:t>The noun qōdeš comes from the root q-d-š, which fundamentally means to cut, divide, or separate. The ancient word picture is that of drawing a clear line of demarcation. On one side of the line lies the common, the ordinary, and the everyday (the profane); on the other side lies that which is claimed by God and set apart entirely for His service. To be qōdeš is to be withdrawn from ordinary human use and dedicated to the divine realm. When this word is doubled to form the superlative "most holy" (qōdeš qodāšîm), the boundary line is drawn even deeper. It denotes a sphere of supreme sanctity, a zone of high spiritual gravity where no defilement or casual approach is tolerated.</w:t>
      </w:r>
    </w:p>
    <w:p w14:paraId="39C765D1" w14:textId="77777777" w:rsidR="00EB1288" w:rsidRDefault="00EB1288"/>
    <w:p w14:paraId="78048DDF" w14:textId="77777777" w:rsidR="00EB1288" w:rsidRPr="00EB1288" w:rsidRDefault="00EB1288">
      <w:pPr>
        <w:rPr>
          <w:b/>
        </w:rPr>
      </w:pPr>
      <w:r w:rsidRPr="00EB1288">
        <w:rPr>
          <w:b/>
        </w:rPr>
        <w:t xml:space="preserve"> 2. Meaning / Lexical Definition</w:t>
      </w:r>
    </w:p>
    <w:p w14:paraId="6228DD63" w14:textId="77777777" w:rsidR="00EB1288" w:rsidRDefault="00EB1288">
      <w:r>
        <w:t>• qōdeš means holiness, sacredness, consecrated thing, or sanctuary. It defines the state of that which belongs to the sphere of the divine.</w:t>
      </w:r>
    </w:p>
    <w:p w14:paraId="31C03982" w14:textId="77777777" w:rsidR="00EB1288" w:rsidRDefault="00EB1288">
      <w:r>
        <w:t>• In its basic singular form, it denotes anything dedicated to God, such as the Tabernacle vessels, the priestly garments, or the tithes.</w:t>
      </w:r>
    </w:p>
    <w:p w14:paraId="2F6CE7AF" w14:textId="77777777" w:rsidR="00EB1288" w:rsidRDefault="00EB1288">
      <w:r>
        <w:t>• In the duplicated construction qōdeš qodāšîm ("most holy" or "holy of holies"), the phrase expresses the ultimate degree of holiness. Hebrew lacks a simple comparative or superlative adjective form (like "holier" or "holiest"), so it repeats the noun in the plural genitive to express the highest possible intensity of the attribute.</w:t>
      </w:r>
    </w:p>
    <w:p w14:paraId="11BB8364" w14:textId="77777777" w:rsidR="00EB1288" w:rsidRDefault="00EB1288">
      <w:r>
        <w:t>• Consequently, "most holy" identifies things that are so saturated with divine ownership that they are highly restricted. Only consecrated priests may touch or eat them, and they possess a contagious holiness that affects anything they contact.</w:t>
      </w:r>
    </w:p>
    <w:p w14:paraId="2792B09D" w14:textId="77777777" w:rsidR="00EB1288" w:rsidRDefault="00EB1288"/>
    <w:p w14:paraId="0BE9B13D" w14:textId="77777777" w:rsidR="00EB1288" w:rsidRPr="00EB1288" w:rsidRDefault="00EB1288">
      <w:pPr>
        <w:rPr>
          <w:b/>
        </w:rPr>
      </w:pPr>
      <w:r w:rsidRPr="00EB1288">
        <w:rPr>
          <w:b/>
        </w:rPr>
        <w:t xml:space="preserve"> 3. Usage and Word Pictures</w:t>
      </w:r>
    </w:p>
    <w:p w14:paraId="5F58FD11" w14:textId="77777777" w:rsidR="00EB1288" w:rsidRDefault="00EB1288">
      <w:r>
        <w:t xml:space="preserve">Throughout the Old Testament, qōdeš is used to describe God’s character, His name, His dwelling place, and the items used in His worship. The superlative "most holy" is applied to the inner sanctuary (the Holy of Holies), the incense altar, the showbread, the grain and sin offerings, and the altar of burnt offering. </w:t>
      </w:r>
    </w:p>
    <w:p w14:paraId="4FBD329E" w14:textId="77777777" w:rsidR="00EB1288" w:rsidRDefault="00EB1288">
      <w:r>
        <w:t>• The word picture of the altar as "most holy" is one of a spiritual firewall. The altar is the place where holy fire consumes the sacrifices. Because it is "most holy," the altar is a point of absolute transition—converting ordinary animals into sweet-smelling aromas acceptable to God, and cleansing the uncleanness of the people.</w:t>
      </w:r>
    </w:p>
    <w:p w14:paraId="3A75B693" w14:textId="77777777" w:rsidR="00EB1288" w:rsidRDefault="00EB1288">
      <w:r>
        <w:t>• Another vivid word picture associated with the "most holy" altar is "contagious holiness" (Exodus 29:37). Holiness is depicted as a powerful, positive force. Just as defilement can spread, the intense sacredness of the altar is so potent that whatever touches it becomes consecrated to God, claimed by His holiness.</w:t>
      </w:r>
    </w:p>
    <w:p w14:paraId="3A1A5468" w14:textId="77777777" w:rsidR="00EB1288" w:rsidRDefault="00EB1288"/>
    <w:p w14:paraId="655E468E" w14:textId="77777777" w:rsidR="00EB1288" w:rsidRPr="00EB1288" w:rsidRDefault="00EB1288">
      <w:pPr>
        <w:rPr>
          <w:b/>
        </w:rPr>
      </w:pPr>
      <w:r w:rsidRPr="00EB1288">
        <w:rPr>
          <w:b/>
        </w:rPr>
        <w:t xml:space="preserve"> 4. Theological Implications</w:t>
      </w:r>
    </w:p>
    <w:p w14:paraId="5BFA3C1E" w14:textId="77777777" w:rsidR="00EB1288" w:rsidRDefault="00EB1288">
      <w:r>
        <w:t>The designation of the altar as "most holy" carries profound theological weight:</w:t>
      </w:r>
    </w:p>
    <w:p w14:paraId="5026D247" w14:textId="77777777" w:rsidR="00EB1288" w:rsidRDefault="00EB1288">
      <w:r>
        <w:t>• The Absolute Holiness of God: God does not coexist with the profane or the defiled. To approach Him, there must be a consecrated medium. The altar must be uniquely sanctified because it is the instrument that facilitates fellowship between a sinful people and a holy God.</w:t>
      </w:r>
    </w:p>
    <w:p w14:paraId="557EAC1A" w14:textId="77777777" w:rsidR="00EB1288" w:rsidRDefault="00EB1288">
      <w:r>
        <w:t>• The Gravity of Atonement: Because the altar is "most holy," the act of sacrifice is not a mundane ritual. Atonement is a solemn, highly guarded transaction. It demands absolute reverence, order, and purity.</w:t>
      </w:r>
    </w:p>
    <w:p w14:paraId="448973CF" w14:textId="77777777" w:rsidR="00EB1288" w:rsidRDefault="00EB1288">
      <w:r>
        <w:t>• The Anticipation of Christ: The "most holy" altar points forward to Jesus Christ. He is both the ultimate Altar and the ultimate Sacrifice. In the New Covenant, the shadow of the physical, restricted "most holy" altar is fulfilled in Christ, who sanctifies believers and allows them direct access to the throne of grace (Hebrews 13:10–12).</w:t>
      </w:r>
    </w:p>
    <w:p w14:paraId="151871BA" w14:textId="77777777" w:rsidR="00EB1288" w:rsidRDefault="00EB1288"/>
    <w:p w14:paraId="6D4F2F15" w14:textId="77777777" w:rsidR="00EB1288" w:rsidRPr="00EB1288" w:rsidRDefault="00EB1288">
      <w:pPr>
        <w:rPr>
          <w:b/>
        </w:rPr>
      </w:pPr>
      <w:r w:rsidRPr="00EB1288">
        <w:rPr>
          <w:b/>
        </w:rPr>
        <w:t xml:space="preserve"> 5. Contextual Nuance in the Passage</w:t>
      </w:r>
    </w:p>
    <w:p w14:paraId="55CC2F70" w14:textId="77777777" w:rsidR="00EB1288" w:rsidRDefault="00EB1288">
      <w:r>
        <w:t xml:space="preserve">In Exodus 40:10, Moses is commanded to set up, anoint, and consecrate the Tabernacle and its furnishings to prepare for the indwelling glory of Yahweh. While the Tabernacle and its utensils are anointed and declared "holy," the altar of burnt offering is uniquely declared "most holy." </w:t>
      </w:r>
    </w:p>
    <w:p w14:paraId="488E6495" w14:textId="77777777" w:rsidR="00EB1288" w:rsidRDefault="00EB1288">
      <w:r>
        <w:t>• This distinction is highly intentional. The altar stood in the outer court, visible to all Israel, making it the most accessible part of the Tabernacle complex. Because it sat in the open air, closest to the camp of Israel where the common and unclean resided, it was at the greatest risk of being treated as common or becoming defiled.</w:t>
      </w:r>
    </w:p>
    <w:p w14:paraId="63E22740" w14:textId="77777777" w:rsidR="00EB1288" w:rsidRDefault="00EB1288">
      <w:r>
        <w:t>• By declaring the altar "most holy," God erected a theological barrier. Though it stood in the outer court, it possessed the same degree of sanctity as the hidden items inside the tent. This protected the altar from casual or profane handling and reminded the worshiper that the very threshold of forgiveness and worship is intensely sacred.</w:t>
      </w:r>
    </w:p>
    <w:p w14:paraId="4874D52F" w14:textId="77777777" w:rsidR="00EB1288" w:rsidRDefault="00EB1288"/>
    <w:p w14:paraId="75E4AC2D" w14:textId="77777777" w:rsidR="00EB1288" w:rsidRPr="00EB1288" w:rsidRDefault="00EB1288">
      <w:pPr>
        <w:rPr>
          <w:b/>
        </w:rPr>
      </w:pPr>
      <w:r w:rsidRPr="00EB1288">
        <w:rPr>
          <w:b/>
        </w:rPr>
        <w:t xml:space="preserve"> 6. Key Uses in Other Verses (NKJV)</w:t>
      </w:r>
    </w:p>
    <w:p w14:paraId="65F53402" w14:textId="77777777" w:rsidR="00EB1288" w:rsidRDefault="00EB1288">
      <w:r>
        <w:t>• Exodus 29:37 – "Seven days you shall make atonement for the altar and sanctify it. And the altar shall be most holy. Whatever touches the altar must be holy."</w:t>
      </w:r>
    </w:p>
    <w:p w14:paraId="45A4D542" w14:textId="77777777" w:rsidR="00EB1288" w:rsidRDefault="00EB1288">
      <w:r>
        <w:t>• Exodus 30:10 – "And Aaron shall make atonement upon its horns once a year with the blood of the sin offering of atonement... It is most holy to the Lord."</w:t>
      </w:r>
    </w:p>
    <w:p w14:paraId="07497BAA" w14:textId="77777777" w:rsidR="00EB1288" w:rsidRDefault="00EB1288">
      <w:r>
        <w:t>• Leviticus 2:3 – "The rest of the grain offering shall be Aaron’s and his sons’. It is most holy of the offerings to the Lord made by fire."</w:t>
      </w:r>
    </w:p>
    <w:p w14:paraId="62A97E5E" w14:textId="77777777" w:rsidR="00EB1288" w:rsidRDefault="00EB1288">
      <w:r>
        <w:t>• Leviticus 21:22 – "He may eat the bread of his God, both the most holy and the holy;"</w:t>
      </w:r>
    </w:p>
    <w:p w14:paraId="1343E666" w14:textId="77777777" w:rsidR="00EB1288" w:rsidRDefault="00EB1288"/>
    <w:p w14:paraId="76B1B67F" w14:textId="77777777" w:rsidR="00EB1288" w:rsidRPr="00EB1288" w:rsidRDefault="00EB1288">
      <w:pPr>
        <w:rPr>
          <w:b/>
        </w:rPr>
      </w:pPr>
      <w:r w:rsidRPr="00EB1288">
        <w:rPr>
          <w:b/>
        </w:rPr>
        <w:t xml:space="preserve"> 7. Other Relevant Insights</w:t>
      </w:r>
    </w:p>
    <w:p w14:paraId="57A89E69" w14:textId="77777777" w:rsidR="00EB1288" w:rsidRDefault="00EB1288">
      <w:r>
        <w:t xml:space="preserve">In the Levitical system, there is a strict functional boundary between "holy" (qōdeš) and "most holy" (qōdeš qodāšîm). </w:t>
      </w:r>
    </w:p>
    <w:p w14:paraId="66A56E3B" w14:textId="77777777" w:rsidR="00EB1288" w:rsidRDefault="00EB1288">
      <w:r>
        <w:t>• "Holy" items (such as peace offerings or firstfruits) could be eaten by the priests and their clean family members, and could be handled in any clean place outside the sanctuary court.</w:t>
      </w:r>
    </w:p>
    <w:p w14:paraId="6674704F" w14:textId="77777777" w:rsidR="00EB1288" w:rsidRDefault="00EB1288">
      <w:r>
        <w:t>• "Most holy" items (such as the grain offerings, trespass offerings, and sin offerings) could only be eaten by the male priests, and only within the sacred precincts of the Tabernacle court.</w:t>
      </w:r>
    </w:p>
    <w:p w14:paraId="61347C4D" w14:textId="77777777" w:rsidR="00EB1288" w:rsidRDefault="00EB1288">
      <w:r>
        <w:t>• This distinction reminds modern believers of the danger of treating sacred things carelessly. Under the New Covenant, while we enjoy intimate access to God, we must never lose our awe and reverence for the "most holy" sacrifice of Christ that bought our redemption.</w:t>
      </w:r>
    </w:p>
    <w:p w14:paraId="287B24BA" w14:textId="77777777" w:rsidR="00EB1288" w:rsidRDefault="00EB1288"/>
    <w:p w14:paraId="0F56CCB6" w14:textId="77777777" w:rsidR="00EB1288" w:rsidRPr="00EB1288" w:rsidRDefault="00EB1288">
      <w:pPr>
        <w:rPr>
          <w:b/>
        </w:rPr>
      </w:pPr>
      <w:r w:rsidRPr="00EB1288">
        <w:rPr>
          <w:b/>
        </w:rPr>
        <w:t xml:space="preserve"> 8. References</w:t>
      </w:r>
    </w:p>
    <w:p w14:paraId="3326C14E" w14:textId="77777777" w:rsidR="00EB1288" w:rsidRDefault="00EB1288">
      <w:r>
        <w:t>• Brown, Driver, Briggs Hebrew and English Lexicon</w:t>
      </w:r>
    </w:p>
    <w:p w14:paraId="5C757A3E" w14:textId="77777777" w:rsidR="00EB1288" w:rsidRDefault="00EB1288">
      <w:r>
        <w:t>• Theological Wordbook of the Old Testament</w:t>
      </w:r>
    </w:p>
    <w:p w14:paraId="16C688B3" w14:textId="77777777" w:rsidR="00EB1288" w:rsidRDefault="00EB1288">
      <w:r>
        <w:t>• New International Dictionary of Old Testament Theology and Exegesis</w:t>
      </w:r>
    </w:p>
    <w:p w14:paraId="4321571B" w14:textId="77777777" w:rsidR="00EB1288" w:rsidRDefault="00EB1288">
      <w:r>
        <w:t>• Theological Dictionary of the New Testament (Little Kittel)</w:t>
      </w:r>
    </w:p>
    <w:p w14:paraId="0E6FF4EE" w14:textId="71176C90" w:rsidR="004C5552" w:rsidRDefault="00EB128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28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417D"/>
  <w15:chartTrackingRefBased/>
  <w15:docId w15:val="{2B68C1AC-CD8E-447F-988B-7B75F2F6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288"/>
    <w:rPr>
      <w:rFonts w:eastAsiaTheme="majorEastAsia" w:cstheme="majorBidi"/>
      <w:color w:val="272727" w:themeColor="text1" w:themeTint="D8"/>
    </w:rPr>
  </w:style>
  <w:style w:type="paragraph" w:styleId="Title">
    <w:name w:val="Title"/>
    <w:basedOn w:val="Normal"/>
    <w:next w:val="Normal"/>
    <w:link w:val="TitleChar"/>
    <w:uiPriority w:val="10"/>
    <w:qFormat/>
    <w:rsid w:val="00EB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288"/>
    <w:pPr>
      <w:spacing w:before="160"/>
      <w:jc w:val="center"/>
    </w:pPr>
    <w:rPr>
      <w:i/>
      <w:iCs/>
      <w:color w:val="404040" w:themeColor="text1" w:themeTint="BF"/>
    </w:rPr>
  </w:style>
  <w:style w:type="character" w:customStyle="1" w:styleId="QuoteChar">
    <w:name w:val="Quote Char"/>
    <w:basedOn w:val="DefaultParagraphFont"/>
    <w:link w:val="Quote"/>
    <w:uiPriority w:val="29"/>
    <w:rsid w:val="00EB1288"/>
    <w:rPr>
      <w:i/>
      <w:iCs/>
      <w:color w:val="404040" w:themeColor="text1" w:themeTint="BF"/>
    </w:rPr>
  </w:style>
  <w:style w:type="paragraph" w:styleId="ListParagraph">
    <w:name w:val="List Paragraph"/>
    <w:basedOn w:val="Normal"/>
    <w:uiPriority w:val="34"/>
    <w:qFormat/>
    <w:rsid w:val="00EB1288"/>
    <w:pPr>
      <w:ind w:left="720"/>
      <w:contextualSpacing/>
    </w:pPr>
  </w:style>
  <w:style w:type="character" w:styleId="IntenseEmphasis">
    <w:name w:val="Intense Emphasis"/>
    <w:basedOn w:val="DefaultParagraphFont"/>
    <w:uiPriority w:val="21"/>
    <w:qFormat/>
    <w:rsid w:val="00EB1288"/>
    <w:rPr>
      <w:i/>
      <w:iCs/>
      <w:color w:val="2E74B5" w:themeColor="accent1" w:themeShade="BF"/>
    </w:rPr>
  </w:style>
  <w:style w:type="paragraph" w:styleId="IntenseQuote">
    <w:name w:val="Intense Quote"/>
    <w:basedOn w:val="Normal"/>
    <w:next w:val="Normal"/>
    <w:link w:val="IntenseQuoteChar"/>
    <w:uiPriority w:val="30"/>
    <w:qFormat/>
    <w:rsid w:val="00EB12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288"/>
    <w:rPr>
      <w:i/>
      <w:iCs/>
      <w:color w:val="2E74B5" w:themeColor="accent1" w:themeShade="BF"/>
    </w:rPr>
  </w:style>
  <w:style w:type="character" w:styleId="IntenseReference">
    <w:name w:val="Intense Reference"/>
    <w:basedOn w:val="DefaultParagraphFont"/>
    <w:uiPriority w:val="32"/>
    <w:qFormat/>
    <w:rsid w:val="00EB12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1027</Words>
  <Characters>5854</Characters>
  <Application>Microsoft Office Word</Application>
  <DocSecurity>0</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2026-08-14T11:37:00Z</dcterms:modified>
</cp:coreProperties>
</file>