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1E66" w14:textId="77777777" w:rsidR="00451B38" w:rsidRPr="00451B38" w:rsidRDefault="00451B38">
      <w:pPr>
        <w:rPr>
          <w:b/>
        </w:rPr>
      </w:pPr>
      <w:r w:rsidRPr="00451B38">
        <w:rPr>
          <w:b/>
        </w:rPr>
        <w:t>BOARDS - ( qeresh , Strong's H7175 )</w:t>
      </w:r>
    </w:p>
    <w:p w14:paraId="65D2B3D7" w14:textId="77777777" w:rsidR="00451B38" w:rsidRDefault="00451B38">
      <w:r w:rsidRPr="00451B38">
        <w:rPr>
          <w:b/>
        </w:rPr>
        <w:t>Summary:</w:t>
      </w:r>
    </w:p>
    <w:p w14:paraId="35EDE25B" w14:textId="77777777" w:rsidR="00451B38" w:rsidRDefault="00451B38">
      <w:r>
        <w:t>The Hebrew noun qeresh refers to the thick boards, planks, or timber frames that formed the structural walls of the Tabernacle. Traditionally translated as "boards," the term describes skeletal frames or trellises designed to hold the heavy tapestry layers of the Tabernacle. In Exodus 40:18, these structural pieces represent the sturdy, interconnected framework of God's dwelling place, constructed from acacia wood overlaid with gold. They symbolize stability, unity, and the ordering of sacred space according to the precise pattern revealed by God on the mountain.</w:t>
      </w:r>
    </w:p>
    <w:p w14:paraId="771ECF80" w14:textId="77777777" w:rsidR="00451B38" w:rsidRDefault="00451B38"/>
    <w:p w14:paraId="72E6E81E" w14:textId="77777777" w:rsidR="00451B38" w:rsidRDefault="00451B38">
      <w:r w:rsidRPr="00451B38">
        <w:rPr>
          <w:b/>
        </w:rPr>
        <w:t>Full Study:</w:t>
      </w:r>
    </w:p>
    <w:p w14:paraId="4DACB24D" w14:textId="77777777" w:rsidR="00451B38" w:rsidRDefault="00451B38"/>
    <w:p w14:paraId="5C7C4D91" w14:textId="77777777" w:rsidR="00451B38" w:rsidRPr="00451B38" w:rsidRDefault="00451B38">
      <w:pPr>
        <w:rPr>
          <w:b/>
        </w:rPr>
      </w:pPr>
      <w:r w:rsidRPr="00451B38">
        <w:rPr>
          <w:b/>
        </w:rPr>
        <w:t>1. Word Picture / Background</w:t>
      </w:r>
    </w:p>
    <w:p w14:paraId="5A2A5193" w14:textId="77777777" w:rsidR="00451B38" w:rsidRDefault="00451B38">
      <w:r>
        <w:t>• qeresh is derived from an unused root meaning to split or cut off, indicating timber that has been hewn or planed into flat planks or frames. In the ancient Near East, nomadic tents were typically supported by simple poles. The Tabernacle, however, was designed as a hybrid between a portable tent and a solid temple structure. The qerashim (plural of qeresh) provided a rigid, secure wooden wall system that was robust enough to support heavy layers of linen, goat hair, ram skins, and badger skins, while remaining fully portable for wilderness travel.</w:t>
      </w:r>
    </w:p>
    <w:p w14:paraId="1F506E1E" w14:textId="77777777" w:rsidR="00451B38" w:rsidRDefault="00451B38"/>
    <w:p w14:paraId="073C9B63" w14:textId="77777777" w:rsidR="00451B38" w:rsidRPr="00451B38" w:rsidRDefault="00451B38">
      <w:pPr>
        <w:rPr>
          <w:b/>
        </w:rPr>
      </w:pPr>
      <w:r w:rsidRPr="00451B38">
        <w:rPr>
          <w:b/>
        </w:rPr>
        <w:t>2. Meaning / Lexical Definition</w:t>
      </w:r>
    </w:p>
    <w:p w14:paraId="47A5803D" w14:textId="77777777" w:rsidR="00451B38" w:rsidRDefault="00451B38">
      <w:r>
        <w:t>The noun qeresh refers to a plank, board, or frame. In secular contexts, such as Ezekiel 27:6, it refers to the deck or planks of a ship. In the Pentateuch, it is used exclusively for the construction of the Tabernacle's walls. Rather than solid, heavy wooden planks—which would have been immensely heavy and difficult to transport—qeresh refers to a rectangular wooden frame consisting of two vertical uprights joined by crossbars. This design drastically reduced weight while maintaining high structural integrity.</w:t>
      </w:r>
    </w:p>
    <w:p w14:paraId="293D747F" w14:textId="77777777" w:rsidR="00451B38" w:rsidRDefault="00451B38"/>
    <w:p w14:paraId="3F970111" w14:textId="77777777" w:rsidR="00451B38" w:rsidRPr="00451B38" w:rsidRDefault="00451B38">
      <w:pPr>
        <w:rPr>
          <w:b/>
        </w:rPr>
      </w:pPr>
      <w:r w:rsidRPr="00451B38">
        <w:rPr>
          <w:b/>
        </w:rPr>
        <w:t>3. Usage and Word Pictures</w:t>
      </w:r>
    </w:p>
    <w:p w14:paraId="5E7B6021" w14:textId="77777777" w:rsidR="00451B38" w:rsidRDefault="00451B38">
      <w:r>
        <w:t>• The primary usage of qeresh is structural, found almost entirely within the Tabernacle construction accounts in Exodus (chapters 26, 35, 36, 39, and 40).</w:t>
      </w:r>
    </w:p>
    <w:p w14:paraId="7C36F35A" w14:textId="77777777" w:rsidR="00451B38" w:rsidRDefault="00451B38">
      <w:r>
        <w:t>• The boards were constructed from acacia (shittim) wood, a dense, durable timber native to the Sinai peninsula that is highly resistant to decay and insects.</w:t>
      </w:r>
    </w:p>
    <w:p w14:paraId="49320FBF" w14:textId="77777777" w:rsidR="00451B38" w:rsidRDefault="00451B38">
      <w:r>
        <w:t>• Each board was ten cubits long and one and a half cubits wide (Exodus 26:16).</w:t>
      </w:r>
    </w:p>
    <w:p w14:paraId="5FFFC6E7" w14:textId="77777777" w:rsidR="00451B38" w:rsidRDefault="00451B38">
      <w:r>
        <w:t>• The boards were completely overlaid with pure gold and fitted with two tenons at the bottom to slot into heavy silver sockets, symbolizing a foundation of redemption (silver) and a nature of divine glory (gold).</w:t>
      </w:r>
    </w:p>
    <w:p w14:paraId="7AA76061" w14:textId="77777777" w:rsidR="00451B38" w:rsidRDefault="00451B38">
      <w:r>
        <w:t>• Five wooden bars (berichim) ran horizontally through golden rings on the boards, binding them together into a single, unified wall.</w:t>
      </w:r>
    </w:p>
    <w:p w14:paraId="0AB05AF0" w14:textId="77777777" w:rsidR="00451B38" w:rsidRDefault="00451B38"/>
    <w:p w14:paraId="3FB4F279" w14:textId="77777777" w:rsidR="00451B38" w:rsidRPr="00451B38" w:rsidRDefault="00451B38">
      <w:pPr>
        <w:rPr>
          <w:b/>
        </w:rPr>
      </w:pPr>
      <w:r w:rsidRPr="00451B38">
        <w:rPr>
          <w:b/>
        </w:rPr>
        <w:t>4. Theological Implications</w:t>
      </w:r>
    </w:p>
    <w:p w14:paraId="3859558F" w14:textId="77777777" w:rsidR="00451B38" w:rsidRDefault="00451B38">
      <w:r>
        <w:t>• God’s Dwelling Built by Pattern: The meticulous setting up of the boards highlights that God's dwelling place must be constructed precisely as commanded. Humanity does not design the place of worship; God does.</w:t>
      </w:r>
    </w:p>
    <w:p w14:paraId="6F82F16C" w14:textId="77777777" w:rsidR="00451B38" w:rsidRDefault="00451B38">
      <w:r>
        <w:t>• Unity and Community: The qerashim stood upright, shoulder to shoulder, bound together by the horizontal bars. This is a picture of the covenant community. Individual believers, though distinct, are joined together, built upon a secure foundation, and united by the Spirit to become a dwelling place for God.</w:t>
      </w:r>
    </w:p>
    <w:p w14:paraId="3DC6E6CE" w14:textId="77777777" w:rsidR="00451B38" w:rsidRDefault="00451B38">
      <w:r>
        <w:t>• Incorruptibility and Glory: The acacia wood (subject to the harsh wilderness but naturally rot-resistant) overlaid with gold represents the union of the earthly and the heavenly, pointing forward to the incarnation of Christ and the transformed state of His people.</w:t>
      </w:r>
    </w:p>
    <w:p w14:paraId="6A9069AC" w14:textId="77777777" w:rsidR="00451B38" w:rsidRDefault="00451B38"/>
    <w:p w14:paraId="5760A970" w14:textId="77777777" w:rsidR="00451B38" w:rsidRPr="00451B38" w:rsidRDefault="00451B38">
      <w:pPr>
        <w:rPr>
          <w:b/>
        </w:rPr>
      </w:pPr>
      <w:r w:rsidRPr="00451B38">
        <w:rPr>
          <w:b/>
        </w:rPr>
        <w:t>5. Contextual Nuance in the Passage</w:t>
      </w:r>
    </w:p>
    <w:p w14:paraId="338338FB" w14:textId="77777777" w:rsidR="00451B38" w:rsidRDefault="00451B38">
      <w:r>
        <w:t>In Exodus 40:18, Moses is executing the final assembly of the Tabernacle on the first day of the first month of the second year after leaving Egypt. The verb "set up" (yaqem) indicates the physical raising and securing of these heavy frames. The context highlights Moses's exact obedience; he set up the sockets, the boards, the bars, and the pillars exactly "as the Lord commanded Moses" (Exodus 40:19). The stability of the entire tent depended on these boards being perfectly aligned and securely anchored in their silver bases to receive the heavy curtains.</w:t>
      </w:r>
    </w:p>
    <w:p w14:paraId="145D8B80" w14:textId="77777777" w:rsidR="00451B38" w:rsidRDefault="00451B38"/>
    <w:p w14:paraId="764365B3" w14:textId="77777777" w:rsidR="00451B38" w:rsidRPr="00451B38" w:rsidRDefault="00451B38">
      <w:pPr>
        <w:rPr>
          <w:b/>
        </w:rPr>
      </w:pPr>
      <w:r w:rsidRPr="00451B38">
        <w:rPr>
          <w:b/>
        </w:rPr>
        <w:t>6. Key Uses in Other Verses (NKJV)</w:t>
      </w:r>
    </w:p>
    <w:p w14:paraId="433D1ECD" w14:textId="77777777" w:rsidR="00451B38" w:rsidRDefault="00451B38">
      <w:r>
        <w:t>• Exodus 26:15 – "And for the tabernacle you shall make the boards of acacia wood, standing upright."</w:t>
      </w:r>
    </w:p>
    <w:p w14:paraId="3D652A9D" w14:textId="77777777" w:rsidR="00451B38" w:rsidRDefault="00451B38">
      <w:r>
        <w:t>• Exodus 26:29 – "You shall overlay the boards with gold, make their rings of gold as holders for the bars, and overlay the bars with gold."</w:t>
      </w:r>
    </w:p>
    <w:p w14:paraId="194BAF15" w14:textId="77777777" w:rsidR="00451B38" w:rsidRDefault="00451B38">
      <w:r>
        <w:t>• Exodus 36:20 – "And for the tabernacle he made the boards of acacia wood, standing upright."</w:t>
      </w:r>
    </w:p>
    <w:p w14:paraId="4DE91735" w14:textId="77777777" w:rsidR="00451B38" w:rsidRDefault="00451B38">
      <w:r>
        <w:t>• Ezekiel 27:6 – "Of the oaks of Bashan they made your oars; The company of the Ashurites have made your benches of ivory, inlaid with boxwood, from the coasts of Cyprus."</w:t>
      </w:r>
    </w:p>
    <w:p w14:paraId="70BBAF8A" w14:textId="77777777" w:rsidR="00451B38" w:rsidRDefault="00451B38"/>
    <w:p w14:paraId="1638BCDB" w14:textId="77777777" w:rsidR="00451B38" w:rsidRPr="00451B38" w:rsidRDefault="00451B38">
      <w:pPr>
        <w:rPr>
          <w:b/>
        </w:rPr>
      </w:pPr>
      <w:r w:rsidRPr="00451B38">
        <w:rPr>
          <w:b/>
        </w:rPr>
        <w:t>7. Other Relevant Insights</w:t>
      </w:r>
    </w:p>
    <w:p w14:paraId="0222CD4A" w14:textId="77777777" w:rsidR="00451B38" w:rsidRDefault="00451B38">
      <w:r>
        <w:t>• The total number of boards for the Tabernacle was 48: twenty on the north side, twenty on the south side, six on the west (rear) side, and two corner boards.</w:t>
      </w:r>
    </w:p>
    <w:p w14:paraId="4C00BEC5" w14:textId="77777777" w:rsidR="00451B38" w:rsidRDefault="00451B38">
      <w:r>
        <w:t>• The silver sockets (two for each board) were cast from the atonement money (the half-shekel temple tax) collected from the census of the Israelites (Exodus 38:25–27). This means the structural walls of the Tabernacle literally rested on the price of redemption.</w:t>
      </w:r>
    </w:p>
    <w:p w14:paraId="6F4D7262" w14:textId="77777777" w:rsidR="00451B38" w:rsidRDefault="00451B38">
      <w:r>
        <w:t>• The mobility of these boards is detailed in Numbers 3 and 4, where the Merarites were specifically tasked with the heavy labor of transporting the boards, bars, pillars, and sockets whenever the camp moved.</w:t>
      </w:r>
    </w:p>
    <w:p w14:paraId="2EA2CBCB" w14:textId="77777777" w:rsidR="00451B38" w:rsidRDefault="00451B38"/>
    <w:p w14:paraId="24EA0CC9" w14:textId="77777777" w:rsidR="00451B38" w:rsidRPr="00451B38" w:rsidRDefault="00451B38">
      <w:pPr>
        <w:rPr>
          <w:b/>
        </w:rPr>
      </w:pPr>
      <w:r w:rsidRPr="00451B38">
        <w:rPr>
          <w:b/>
        </w:rPr>
        <w:t>8. References</w:t>
      </w:r>
    </w:p>
    <w:p w14:paraId="0FC16C94" w14:textId="77777777" w:rsidR="00451B38" w:rsidRDefault="00451B38">
      <w:r>
        <w:t>• Brown, Driver, and Briggs. Hebrew and English Lexicon of the Old Testament.</w:t>
      </w:r>
    </w:p>
    <w:p w14:paraId="5B8D659B" w14:textId="77777777" w:rsidR="00451B38" w:rsidRDefault="00451B38">
      <w:r>
        <w:t>• Harris, R. Laird, Gleason L. Archer Jr., and Bruce K. Waltke. Theological Wordbook of the Old Testament.</w:t>
      </w:r>
    </w:p>
    <w:p w14:paraId="73F18682" w14:textId="77777777" w:rsidR="00451B38" w:rsidRDefault="00451B38">
      <w:r>
        <w:t>• Koehler, Ludwig, and Walter Baumgartner. The Hebrew and Aramaic Lexicon of the Old Testament.</w:t>
      </w:r>
    </w:p>
    <w:p w14:paraId="17359B52" w14:textId="77777777" w:rsidR="00451B38" w:rsidRDefault="00451B38">
      <w:r>
        <w:t>• Gesenius, Wilhelm. Gesenius' Hebrew and Chaldee Lexicon to the Old Testament Scriptures.</w:t>
      </w:r>
    </w:p>
    <w:p w14:paraId="721682D9" w14:textId="19AC04F9" w:rsidR="004C5552" w:rsidRDefault="00451B3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B38"/>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7F4D"/>
  <w15:chartTrackingRefBased/>
  <w15:docId w15:val="{15AC606D-A8B4-4C25-BB8D-C2D0D82D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1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1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B38"/>
    <w:rPr>
      <w:rFonts w:eastAsiaTheme="majorEastAsia" w:cstheme="majorBidi"/>
      <w:color w:val="272727" w:themeColor="text1" w:themeTint="D8"/>
    </w:rPr>
  </w:style>
  <w:style w:type="paragraph" w:styleId="Title">
    <w:name w:val="Title"/>
    <w:basedOn w:val="Normal"/>
    <w:next w:val="Normal"/>
    <w:link w:val="TitleChar"/>
    <w:uiPriority w:val="10"/>
    <w:qFormat/>
    <w:rsid w:val="0045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B38"/>
    <w:pPr>
      <w:spacing w:before="160"/>
      <w:jc w:val="center"/>
    </w:pPr>
    <w:rPr>
      <w:i/>
      <w:iCs/>
      <w:color w:val="404040" w:themeColor="text1" w:themeTint="BF"/>
    </w:rPr>
  </w:style>
  <w:style w:type="character" w:customStyle="1" w:styleId="QuoteChar">
    <w:name w:val="Quote Char"/>
    <w:basedOn w:val="DefaultParagraphFont"/>
    <w:link w:val="Quote"/>
    <w:uiPriority w:val="29"/>
    <w:rsid w:val="00451B38"/>
    <w:rPr>
      <w:i/>
      <w:iCs/>
      <w:color w:val="404040" w:themeColor="text1" w:themeTint="BF"/>
    </w:rPr>
  </w:style>
  <w:style w:type="paragraph" w:styleId="ListParagraph">
    <w:name w:val="List Paragraph"/>
    <w:basedOn w:val="Normal"/>
    <w:uiPriority w:val="34"/>
    <w:qFormat/>
    <w:rsid w:val="00451B38"/>
    <w:pPr>
      <w:ind w:left="720"/>
      <w:contextualSpacing/>
    </w:pPr>
  </w:style>
  <w:style w:type="character" w:styleId="IntenseEmphasis">
    <w:name w:val="Intense Emphasis"/>
    <w:basedOn w:val="DefaultParagraphFont"/>
    <w:uiPriority w:val="21"/>
    <w:qFormat/>
    <w:rsid w:val="00451B38"/>
    <w:rPr>
      <w:i/>
      <w:iCs/>
      <w:color w:val="2E74B5" w:themeColor="accent1" w:themeShade="BF"/>
    </w:rPr>
  </w:style>
  <w:style w:type="paragraph" w:styleId="IntenseQuote">
    <w:name w:val="Intense Quote"/>
    <w:basedOn w:val="Normal"/>
    <w:next w:val="Normal"/>
    <w:link w:val="IntenseQuoteChar"/>
    <w:uiPriority w:val="30"/>
    <w:qFormat/>
    <w:rsid w:val="00451B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1B38"/>
    <w:rPr>
      <w:i/>
      <w:iCs/>
      <w:color w:val="2E74B5" w:themeColor="accent1" w:themeShade="BF"/>
    </w:rPr>
  </w:style>
  <w:style w:type="character" w:styleId="IntenseReference">
    <w:name w:val="Intense Reference"/>
    <w:basedOn w:val="DefaultParagraphFont"/>
    <w:uiPriority w:val="32"/>
    <w:qFormat/>
    <w:rsid w:val="00451B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