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C58DF" w14:textId="77777777" w:rsidR="00A0736F" w:rsidRPr="00A0736F" w:rsidRDefault="00A0736F">
      <w:pPr>
        <w:rPr>
          <w:b/>
        </w:rPr>
      </w:pPr>
      <w:r w:rsidRPr="00A0736F">
        <w:rPr>
          <w:b/>
        </w:rPr>
        <w:t>PARTITION - ( masak , Strong's H4539 )</w:t>
      </w:r>
    </w:p>
    <w:p w14:paraId="6372268E" w14:textId="77777777" w:rsidR="00A0736F" w:rsidRDefault="00A0736F">
      <w:r w:rsidRPr="00A0736F">
        <w:rPr>
          <w:b/>
        </w:rPr>
        <w:t>Summary:</w:t>
      </w:r>
    </w:p>
    <w:p w14:paraId="13469AA3" w14:textId="77777777" w:rsidR="00A0736F" w:rsidRDefault="00A0736F">
      <w:r>
        <w:t>The Hebrew noun masak refers to a screen, covering, or hanging that serves as a protective barrier or partition. Derived from the root sakak, which means to cover or shield, this word is used in the context of the Tabernacle to describe the various curtains or screens that demarcated sacred spaces and restricted access to the divine presence. In Exodus 40:21, the "veil of the partition" (paroket hammasak) refers to the inner curtain that separated the Holy Place from the Most Holy Place, serving as a physical and symbolic boundary between a holy God and sinful humanity—a barrier ultimately torn open through the sacrificial death of Jesus Christ.</w:t>
      </w:r>
    </w:p>
    <w:p w14:paraId="2159EF6D" w14:textId="77777777" w:rsidR="00A0736F" w:rsidRDefault="00A0736F"/>
    <w:p w14:paraId="2AED4BF9" w14:textId="77777777" w:rsidR="00A0736F" w:rsidRDefault="00A0736F">
      <w:r w:rsidRPr="00A0736F">
        <w:rPr>
          <w:b/>
        </w:rPr>
        <w:t>Full Study:</w:t>
      </w:r>
    </w:p>
    <w:p w14:paraId="43851099" w14:textId="77777777" w:rsidR="00A0736F" w:rsidRDefault="00A0736F"/>
    <w:p w14:paraId="7790D4A9" w14:textId="77777777" w:rsidR="00A0736F" w:rsidRPr="00A0736F" w:rsidRDefault="00A0736F">
      <w:pPr>
        <w:rPr>
          <w:b/>
        </w:rPr>
      </w:pPr>
      <w:r w:rsidRPr="00A0736F">
        <w:rPr>
          <w:b/>
        </w:rPr>
        <w:t>1. Word Picture / Background</w:t>
      </w:r>
    </w:p>
    <w:p w14:paraId="1925EAB9" w14:textId="77777777" w:rsidR="00A0736F" w:rsidRDefault="00A0736F">
      <w:r>
        <w:t>The noun masak derives from the primitive root sakak, a verb meaning to cover, lay over, screen, or protectively shut in. This root evokes the physical image of a protective canopy, shield, or hedge. In the Ancient Near East, semi-nomadic peoples used woven screens to partition their tents, separating private living quarters from public areas. In the design of the Tabernacle, this practical nomadic element is elevated to a grand theological scale. The masak is not a rigid stone wall, but a flexible, beautifully woven textile barrier that partitions the earthly dwelling place of God.</w:t>
      </w:r>
    </w:p>
    <w:p w14:paraId="4CD210D2" w14:textId="77777777" w:rsidR="00A0736F" w:rsidRDefault="00A0736F"/>
    <w:p w14:paraId="6712E6C4" w14:textId="77777777" w:rsidR="00A0736F" w:rsidRPr="00A0736F" w:rsidRDefault="00A0736F">
      <w:pPr>
        <w:rPr>
          <w:b/>
        </w:rPr>
      </w:pPr>
      <w:r w:rsidRPr="00A0736F">
        <w:rPr>
          <w:b/>
        </w:rPr>
        <w:t>2. Meaning / Lexical Definition</w:t>
      </w:r>
    </w:p>
    <w:p w14:paraId="689C5AF3" w14:textId="77777777" w:rsidR="00A0736F" w:rsidRDefault="00A0736F">
      <w:r>
        <w:t xml:space="preserve">The masculine noun masak refers to a screen, covering, barrier, or hanging curtain. It denotes a textile hanging used specifically to screen an entrance or divide sacred spaces. </w:t>
      </w:r>
    </w:p>
    <w:p w14:paraId="3AFBF565" w14:textId="77777777" w:rsidR="00A0736F" w:rsidRDefault="00A0736F">
      <w:r>
        <w:t>While the word paroket specifically designates the innermost veil that guarded the Holy of Holies, masak is a broader term used for the screen at the entrance of the Holy Place (Exodus 26:36) and the screen at the gate of the outer court (Exodus 27:16). However, in several key passages detailing the inner veil, the two terms are combined as paroket hammasak (the "veil of the partition" or "veil of the covering") to emphasize its function as a protective barrier concealing the Ark of the Testimony from human eyes.</w:t>
      </w:r>
    </w:p>
    <w:p w14:paraId="396B2776" w14:textId="77777777" w:rsidR="00A0736F" w:rsidRDefault="00A0736F"/>
    <w:p w14:paraId="442B9D28" w14:textId="77777777" w:rsidR="00A0736F" w:rsidRPr="00A0736F" w:rsidRDefault="00A0736F">
      <w:pPr>
        <w:rPr>
          <w:b/>
        </w:rPr>
      </w:pPr>
      <w:r w:rsidRPr="00A0736F">
        <w:rPr>
          <w:b/>
        </w:rPr>
        <w:t>3. Usage and Word Pictures</w:t>
      </w:r>
    </w:p>
    <w:p w14:paraId="16452C8D" w14:textId="77777777" w:rsidR="00A0736F" w:rsidRDefault="00A0736F">
      <w:r>
        <w:t xml:space="preserve">With roughly 25 occurrences in the Hebrew Bible, masak is used almost exclusively in the books of Exodus and Numbers to describe the architectural fabric of the Tabernacle. </w:t>
      </w:r>
    </w:p>
    <w:p w14:paraId="1EB87935" w14:textId="77777777" w:rsidR="00A0736F" w:rsidRDefault="00A0736F">
      <w:r>
        <w:t xml:space="preserve">The primary word picture is one of merciful concealment. Because the unshielded presence of God's holiness is lethal to fallen humans, the masak serves as a protective shield. It prevents unauthorized gazing upon holy things, which would result in immediate death (Numbers 4:20). </w:t>
      </w:r>
    </w:p>
    <w:p w14:paraId="6B735571" w14:textId="77777777" w:rsidR="00A0736F" w:rsidRDefault="00A0736F">
      <w:r>
        <w:t>A rare non-tabernacle usage occurs in 2 Samuel 17:19, where a woman places a physical "covering" (masak) over a well to hide David’s spies, illustrating the basic function of the word as a means of hiding something from view to keep it safe.</w:t>
      </w:r>
    </w:p>
    <w:p w14:paraId="52523B4B" w14:textId="77777777" w:rsidR="00A0736F" w:rsidRDefault="00A0736F"/>
    <w:p w14:paraId="4D701343" w14:textId="77777777" w:rsidR="00A0736F" w:rsidRPr="00A0736F" w:rsidRDefault="00A0736F">
      <w:pPr>
        <w:rPr>
          <w:b/>
        </w:rPr>
      </w:pPr>
      <w:r w:rsidRPr="00A0736F">
        <w:rPr>
          <w:b/>
        </w:rPr>
        <w:t>4. Theological Implications</w:t>
      </w:r>
    </w:p>
    <w:p w14:paraId="6FD52A80" w14:textId="77777777" w:rsidR="00A0736F" w:rsidRDefault="00A0736F">
      <w:r>
        <w:t>The theological significance of the masak lies in its portrayal of holy separation. God is holy, and humanity is sinful; therefore, direct access is restricted. The progression through the Tabernacle required passing through multiple masak barriers—first at the outer court gate, then at the entrance to the Holy Place, and finally through the "veil of the partition" into the Holy of Holies. This reinforced the truth that God is not casually approached.</w:t>
      </w:r>
    </w:p>
    <w:p w14:paraId="05C16C3A" w14:textId="77777777" w:rsidR="00A0736F" w:rsidRDefault="00A0736F">
      <w:r>
        <w:t>These physical partitions find their ultimate theological resolution in the New Testament. When Jesus died on the cross, the veil of the temple—the partition guarding the Most Holy Place—was torn in two from top to bottom (Matthew 27:51). The curtain of separation has been dismantled. Believers now have bold, unhindered access to the Father through the blood of Christ, who opened a new and living way through the veil of His flesh (Hebrews 10:19-20).</w:t>
      </w:r>
    </w:p>
    <w:p w14:paraId="027BC201" w14:textId="77777777" w:rsidR="00A0736F" w:rsidRDefault="00A0736F"/>
    <w:p w14:paraId="656ABCAD" w14:textId="77777777" w:rsidR="00A0736F" w:rsidRPr="00A0736F" w:rsidRDefault="00A0736F">
      <w:pPr>
        <w:rPr>
          <w:b/>
        </w:rPr>
      </w:pPr>
      <w:r w:rsidRPr="00A0736F">
        <w:rPr>
          <w:b/>
        </w:rPr>
        <w:t>5. Contextual Nuance in the Passage (Exodus 40:21)</w:t>
      </w:r>
    </w:p>
    <w:p w14:paraId="1785D8B7" w14:textId="77777777" w:rsidR="00A0736F" w:rsidRDefault="00A0736F">
      <w:r>
        <w:t>Exodus 40 describes the final assembly of the Tabernacle under Moses's supervision. In verse 21, the hanging of the "veil of the partition" (paroket hammasak) is immediately followed by the action of "partitioning off" (wayyasek, from the root sakak) the Ark of the Testimony.</w:t>
      </w:r>
    </w:p>
    <w:p w14:paraId="7D327F0C" w14:textId="77777777" w:rsidR="00A0736F" w:rsidRDefault="00A0736F">
      <w:r>
        <w:t>The close proximity of the noun masak and the verb sakak emphasizes the absolute security and enclosure of the Ark. The Ark, containing the tablets of the Law and topped by the Mercy Seat, was now completely veiled from human sight. This action represents the fulfillment of God’s command to separate the Holy Place from the Most Holy Place. The presence of the partition signifies that the sanctuary is now functional, ready to receive the consuming glory of the Lord, which descends in cloud and fire immediately afterward (Exodus 40:34).</w:t>
      </w:r>
    </w:p>
    <w:p w14:paraId="74E8D370" w14:textId="77777777" w:rsidR="00A0736F" w:rsidRDefault="00A0736F"/>
    <w:p w14:paraId="7CC0EA16" w14:textId="77777777" w:rsidR="00A0736F" w:rsidRPr="00A0736F" w:rsidRDefault="00A0736F">
      <w:pPr>
        <w:rPr>
          <w:b/>
        </w:rPr>
      </w:pPr>
      <w:r w:rsidRPr="00A0736F">
        <w:rPr>
          <w:b/>
        </w:rPr>
        <w:t>6. Key Uses in Other Verses (NKJV)</w:t>
      </w:r>
    </w:p>
    <w:p w14:paraId="4FF7D7B4" w14:textId="77777777" w:rsidR="00A0736F" w:rsidRDefault="00A0736F">
      <w:r>
        <w:t>• Exodus 26:36: "You shall make a screen for the door of the tabernacle, woven of blue, purple, and scarlet thread, and fine woven linen, made by an embroiderer."</w:t>
      </w:r>
    </w:p>
    <w:p w14:paraId="4780A272" w14:textId="77777777" w:rsidR="00A0736F" w:rsidRDefault="00A0736F">
      <w:r>
        <w:t>• Exodus 35:12: "the ark and its poles, with the mercy seat, and the veil of the covering;"</w:t>
      </w:r>
    </w:p>
    <w:p w14:paraId="614E65AB" w14:textId="77777777" w:rsidR="00A0736F" w:rsidRDefault="00A0736F">
      <w:r>
        <w:t>• Numbers 3:25: "The duties of the children of Gershon in the tabernacle of meeting included the tabernacle, the tent with its covering, the screen for the door of the tabernacle of meeting,"</w:t>
      </w:r>
    </w:p>
    <w:p w14:paraId="552258C8" w14:textId="77777777" w:rsidR="00A0736F" w:rsidRDefault="00A0736F"/>
    <w:p w14:paraId="209D510D" w14:textId="77777777" w:rsidR="00A0736F" w:rsidRPr="00A0736F" w:rsidRDefault="00A0736F">
      <w:pPr>
        <w:rPr>
          <w:b/>
        </w:rPr>
      </w:pPr>
      <w:r w:rsidRPr="00A0736F">
        <w:rPr>
          <w:b/>
        </w:rPr>
        <w:t>7. Other Relevant Insights</w:t>
      </w:r>
    </w:p>
    <w:p w14:paraId="34C4D331" w14:textId="77777777" w:rsidR="00A0736F" w:rsidRDefault="00A0736F">
      <w:r>
        <w:t>The gradations of craftsmanship on the partitions reflect the levels of holiness within the Tabernacle. The screen for the outer court gate and the screen for the Tabernacle door were embroidered with blue, purple, and scarlet thread on fine woven linen (Exodus 26:36, 27:16). However, they lacked the woven cherubim designs that adorned the inner veil (paroket). The presence of cherubim on the innermost partition signaled that the priest was crossing from the earthly realm into the symbolic presence of the heavenly throne room, which is guarded by angelic beings.</w:t>
      </w:r>
    </w:p>
    <w:p w14:paraId="1B03A969" w14:textId="77777777" w:rsidR="00A0736F" w:rsidRDefault="00A0736F"/>
    <w:p w14:paraId="2E1623BF" w14:textId="77777777" w:rsidR="00A0736F" w:rsidRPr="00A0736F" w:rsidRDefault="00A0736F">
      <w:pPr>
        <w:rPr>
          <w:b/>
        </w:rPr>
      </w:pPr>
      <w:r w:rsidRPr="00A0736F">
        <w:rPr>
          <w:b/>
        </w:rPr>
        <w:t>8. References</w:t>
      </w:r>
    </w:p>
    <w:p w14:paraId="411C235E" w14:textId="77777777" w:rsidR="00A0736F" w:rsidRDefault="00A0736F">
      <w:r>
        <w:t>• Brown, Driver, Briggs Hebrew and English Lexicon</w:t>
      </w:r>
    </w:p>
    <w:p w14:paraId="7791B07D" w14:textId="77777777" w:rsidR="00A0736F" w:rsidRDefault="00A0736F">
      <w:r>
        <w:t>• Theological Wordbook of the Old Testament</w:t>
      </w:r>
    </w:p>
    <w:p w14:paraId="6C9AEDF3" w14:textId="77777777" w:rsidR="00A0736F" w:rsidRDefault="00A0736F">
      <w:r>
        <w:t>• Hebrew and Aramaic Lexicon of the Old Testament</w:t>
      </w:r>
    </w:p>
    <w:p w14:paraId="4E0A94DC" w14:textId="77777777" w:rsidR="00A0736F" w:rsidRDefault="00A0736F">
      <w:r>
        <w:t>• New International Dictionary of Old Testament Theology and Exegesis</w:t>
      </w:r>
    </w:p>
    <w:p w14:paraId="2C40858D" w14:textId="06FDA965" w:rsidR="004C5552" w:rsidRDefault="00A0736F">
      <w:r>
        <w:t>• Wilson's Old Testament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3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0736F"/>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B9917"/>
  <w15:chartTrackingRefBased/>
  <w15:docId w15:val="{F4469C0A-A864-48E4-893E-5DCDD90D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7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7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36F"/>
    <w:rPr>
      <w:rFonts w:eastAsiaTheme="majorEastAsia" w:cstheme="majorBidi"/>
      <w:color w:val="272727" w:themeColor="text1" w:themeTint="D8"/>
    </w:rPr>
  </w:style>
  <w:style w:type="paragraph" w:styleId="Title">
    <w:name w:val="Title"/>
    <w:basedOn w:val="Normal"/>
    <w:next w:val="Normal"/>
    <w:link w:val="TitleChar"/>
    <w:uiPriority w:val="10"/>
    <w:qFormat/>
    <w:rsid w:val="00A0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36F"/>
    <w:pPr>
      <w:spacing w:before="160"/>
      <w:jc w:val="center"/>
    </w:pPr>
    <w:rPr>
      <w:i/>
      <w:iCs/>
      <w:color w:val="404040" w:themeColor="text1" w:themeTint="BF"/>
    </w:rPr>
  </w:style>
  <w:style w:type="character" w:customStyle="1" w:styleId="QuoteChar">
    <w:name w:val="Quote Char"/>
    <w:basedOn w:val="DefaultParagraphFont"/>
    <w:link w:val="Quote"/>
    <w:uiPriority w:val="29"/>
    <w:rsid w:val="00A0736F"/>
    <w:rPr>
      <w:i/>
      <w:iCs/>
      <w:color w:val="404040" w:themeColor="text1" w:themeTint="BF"/>
    </w:rPr>
  </w:style>
  <w:style w:type="paragraph" w:styleId="ListParagraph">
    <w:name w:val="List Paragraph"/>
    <w:basedOn w:val="Normal"/>
    <w:uiPriority w:val="34"/>
    <w:qFormat/>
    <w:rsid w:val="00A0736F"/>
    <w:pPr>
      <w:ind w:left="720"/>
      <w:contextualSpacing/>
    </w:pPr>
  </w:style>
  <w:style w:type="character" w:styleId="IntenseEmphasis">
    <w:name w:val="Intense Emphasis"/>
    <w:basedOn w:val="DefaultParagraphFont"/>
    <w:uiPriority w:val="21"/>
    <w:qFormat/>
    <w:rsid w:val="00A0736F"/>
    <w:rPr>
      <w:i/>
      <w:iCs/>
      <w:color w:val="2E74B5" w:themeColor="accent1" w:themeShade="BF"/>
    </w:rPr>
  </w:style>
  <w:style w:type="paragraph" w:styleId="IntenseQuote">
    <w:name w:val="Intense Quote"/>
    <w:basedOn w:val="Normal"/>
    <w:next w:val="Normal"/>
    <w:link w:val="IntenseQuoteChar"/>
    <w:uiPriority w:val="30"/>
    <w:qFormat/>
    <w:rsid w:val="00A073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736F"/>
    <w:rPr>
      <w:i/>
      <w:iCs/>
      <w:color w:val="2E74B5" w:themeColor="accent1" w:themeShade="BF"/>
    </w:rPr>
  </w:style>
  <w:style w:type="character" w:styleId="IntenseReference">
    <w:name w:val="Intense Reference"/>
    <w:basedOn w:val="DefaultParagraphFont"/>
    <w:uiPriority w:val="32"/>
    <w:qFormat/>
    <w:rsid w:val="00A073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887</Words>
  <Characters>5061</Characters>
  <Application>Microsoft Office Word</Application>
  <DocSecurity>0</DocSecurity>
  <Lines>42</Lines>
  <Paragraphs>11</Paragraphs>
  <ScaleCrop>false</ScaleCrop>
  <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