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FB4A" w14:textId="77777777" w:rsidR="002B34C4" w:rsidRPr="002B34C4" w:rsidRDefault="002B34C4">
      <w:pPr>
        <w:rPr>
          <w:b/>
        </w:rPr>
      </w:pPr>
      <w:r w:rsidRPr="002B34C4">
        <w:rPr>
          <w:b/>
        </w:rPr>
        <w:t>THINGS - ( erek, Strong's H6187 )</w:t>
      </w:r>
    </w:p>
    <w:p w14:paraId="544D4E65" w14:textId="77777777" w:rsidR="002B34C4" w:rsidRDefault="002B34C4">
      <w:r w:rsidRPr="002B34C4">
        <w:rPr>
          <w:b/>
        </w:rPr>
        <w:t>Summary:</w:t>
      </w:r>
    </w:p>
    <w:p w14:paraId="2E6523A6" w14:textId="77777777" w:rsidR="002B34C4" w:rsidRDefault="002B34C4">
      <w:r>
        <w:t>The Hebrew noun erek refers to an orderly arrangement, a row, a comparative pile, or a standard of valuation. In Exodus 40:4, the word designates the highly structured, prescribed placement of the Bread of the Presence (showbread) upon the golden table in the Tabernacle. Rather than referring to miscellaneous or random objects, "the things" (erek) highlights a deliberate, sacred order. This orderly presentation represents Israel’s perpetual communion with God and reflects the divine character of order, beauty, and covenant faithfulness.</w:t>
      </w:r>
    </w:p>
    <w:p w14:paraId="46912AE4" w14:textId="77777777" w:rsidR="002B34C4" w:rsidRDefault="002B34C4"/>
    <w:p w14:paraId="5DB2781B" w14:textId="77777777" w:rsidR="002B34C4" w:rsidRDefault="002B34C4">
      <w:r w:rsidRPr="002B34C4">
        <w:rPr>
          <w:b/>
        </w:rPr>
        <w:t>Full Study:</w:t>
      </w:r>
    </w:p>
    <w:p w14:paraId="4F0D4ED2" w14:textId="77777777" w:rsidR="002B34C4" w:rsidRDefault="002B34C4"/>
    <w:p w14:paraId="23BED2E8" w14:textId="77777777" w:rsidR="002B34C4" w:rsidRPr="002B34C4" w:rsidRDefault="002B34C4">
      <w:pPr>
        <w:rPr>
          <w:b/>
        </w:rPr>
      </w:pPr>
      <w:r w:rsidRPr="002B34C4">
        <w:rPr>
          <w:b/>
        </w:rPr>
        <w:t xml:space="preserve"> 1. Word Picture / Background</w:t>
      </w:r>
    </w:p>
    <w:p w14:paraId="77A63AD1" w14:textId="77777777" w:rsidR="002B34C4" w:rsidRDefault="002B34C4">
      <w:r>
        <w:t>The noun erek derives from the root verb arak (H6186), which means to set in order, arrange, prepare, or draw up a battle line. Historically, this root brings to mind the deliberate staging of an army preparing for conflict, where every soldier has an assigned rank and position. In the context of the Tabernacle, this martial imagery of precise layout shifts to a domestic and liturgical picture. Erek represents the highly structured, beautiful arrangement of sacred elements. Outside the sanctuary, the noun developed a commercial and legal sense meaning "valuation" or "assessment." To value an item meant to place it in its proper comparative order or category, establishing its worth relative to a fixed standard.</w:t>
      </w:r>
    </w:p>
    <w:p w14:paraId="7C2EF471" w14:textId="77777777" w:rsidR="002B34C4" w:rsidRDefault="002B34C4"/>
    <w:p w14:paraId="1D8BD520" w14:textId="77777777" w:rsidR="002B34C4" w:rsidRPr="002B34C4" w:rsidRDefault="002B34C4">
      <w:pPr>
        <w:rPr>
          <w:b/>
        </w:rPr>
      </w:pPr>
      <w:r w:rsidRPr="002B34C4">
        <w:rPr>
          <w:b/>
        </w:rPr>
        <w:t xml:space="preserve"> 2. Meaning / Lexical Definition</w:t>
      </w:r>
    </w:p>
    <w:p w14:paraId="6370B5B1" w14:textId="77777777" w:rsidR="002B34C4" w:rsidRDefault="002B34C4">
      <w:r>
        <w:t>• Erek is a masculine noun that carries two primary semantic ranges:</w:t>
      </w:r>
    </w:p>
    <w:p w14:paraId="3DC9FB0F" w14:textId="77777777" w:rsidR="002B34C4" w:rsidRDefault="002B34C4">
      <w:r>
        <w:t>• Arrangement or Order: A row, a pile, or a systematic layout. In Exodus 40:4, the phrase ve-arachta et-erko literally translates to "and you shall arrange its arrangement." The NKJV translates the noun here as "the things that are to be set in order," referring to the twelve loaves of bread positioned on the table.</w:t>
      </w:r>
    </w:p>
    <w:p w14:paraId="0A3A53E6" w14:textId="77777777" w:rsidR="002B34C4" w:rsidRDefault="002B34C4">
      <w:r>
        <w:t>• Valuation or Estimation: The assigned worth, price, or taxation of a person or object. In the Levitical system, erek frequently describes the official monetary assessment required to redeem a vow or make an offering.</w:t>
      </w:r>
    </w:p>
    <w:p w14:paraId="01203D83" w14:textId="77777777" w:rsidR="002B34C4" w:rsidRDefault="002B34C4"/>
    <w:p w14:paraId="73B13043" w14:textId="77777777" w:rsidR="002B34C4" w:rsidRPr="002B34C4" w:rsidRDefault="002B34C4">
      <w:pPr>
        <w:rPr>
          <w:b/>
        </w:rPr>
      </w:pPr>
      <w:r w:rsidRPr="002B34C4">
        <w:rPr>
          <w:b/>
        </w:rPr>
        <w:t xml:space="preserve"> 3. Usage and Word Pictures</w:t>
      </w:r>
    </w:p>
    <w:p w14:paraId="2402573E" w14:textId="77777777" w:rsidR="002B34C4" w:rsidRDefault="002B34C4">
      <w:r>
        <w:t>The biblical usage of erek highlights three distinct word pictures:</w:t>
      </w:r>
    </w:p>
    <w:p w14:paraId="1CE0E6D0" w14:textId="77777777" w:rsidR="002B34C4" w:rsidRDefault="002B34C4">
      <w:r>
        <w:t>• The Prepared Table: In the Tabernacle, the bread is not piled haphazardly. It is arranged in two neat rows of six loaves each. This visual order displays God's care and the proper organization of the covenant community before Him.</w:t>
      </w:r>
    </w:p>
    <w:p w14:paraId="38953370" w14:textId="77777777" w:rsidR="002B34C4" w:rsidRDefault="002B34C4">
      <w:r>
        <w:t>• The Scale of Redemption: In Leviticus, erek serves as the legal term for determining the monetary equivalent of dedicated things. It pictures a balanced scale where every individual and object has an assessed value in the eyes of the sanctuary.</w:t>
      </w:r>
    </w:p>
    <w:p w14:paraId="7C4F8B1E" w14:textId="77777777" w:rsidR="002B34C4" w:rsidRDefault="002B34C4">
      <w:r>
        <w:t>• Social Equality: In personal relationships, erek describes a person of the same standing or rank—literally, one who is "according to my own estimation" or "my equal" (Psalm 55:13).</w:t>
      </w:r>
    </w:p>
    <w:p w14:paraId="0F877D95" w14:textId="77777777" w:rsidR="002B34C4" w:rsidRDefault="002B34C4"/>
    <w:p w14:paraId="2549DF37" w14:textId="77777777" w:rsidR="002B34C4" w:rsidRPr="002B34C4" w:rsidRDefault="002B34C4">
      <w:pPr>
        <w:rPr>
          <w:b/>
        </w:rPr>
      </w:pPr>
      <w:r w:rsidRPr="002B34C4">
        <w:rPr>
          <w:b/>
        </w:rPr>
        <w:t xml:space="preserve"> 4. Theological Implications</w:t>
      </w:r>
    </w:p>
    <w:p w14:paraId="59629204" w14:textId="77777777" w:rsidR="002B34C4" w:rsidRDefault="002B34C4">
      <w:r>
        <w:t xml:space="preserve">The presence of erek in the instructions for the Tabernacle underscores that God is a God of order and not of confusion. The universe He created operates on precise physical laws, and the worship He institutes operates on precise spiritual and moral patterns. </w:t>
      </w:r>
    </w:p>
    <w:p w14:paraId="509D3385" w14:textId="77777777" w:rsidR="002B34C4" w:rsidRDefault="002B34C4"/>
    <w:p w14:paraId="7A49EA41" w14:textId="77777777" w:rsidR="002B34C4" w:rsidRDefault="002B34C4">
      <w:r>
        <w:t>Furthermore, the bread arranged on the table represents the twelve tribes of Israel. By placing them in a structured erek, the ritual demonstrates that every tribe has an equal, designated, and secure place of fellowship at God's table. The bread remains perpetually before the Lord, signifying that His provision for His people is constant, organized, and intentional.</w:t>
      </w:r>
    </w:p>
    <w:p w14:paraId="7D619104" w14:textId="77777777" w:rsidR="002B34C4" w:rsidRDefault="002B34C4"/>
    <w:p w14:paraId="1B18A7E5" w14:textId="77777777" w:rsidR="002B34C4" w:rsidRPr="002B34C4" w:rsidRDefault="002B34C4">
      <w:pPr>
        <w:rPr>
          <w:b/>
        </w:rPr>
      </w:pPr>
      <w:r w:rsidRPr="002B34C4">
        <w:rPr>
          <w:b/>
        </w:rPr>
        <w:t xml:space="preserve"> 5. Contextual Nuance in the Passage</w:t>
      </w:r>
    </w:p>
    <w:p w14:paraId="19F3096F" w14:textId="77777777" w:rsidR="002B34C4" w:rsidRDefault="002B34C4">
      <w:r>
        <w:t xml:space="preserve">In Exodus 40, Moses is executing the final assembly of the Tabernacle on the first day of the first month. The physical structures are erected, and the furniture is brought inside. In verse 4, God instructs Moses not only to bring in the golden table but also to set up the bread arrangement (erek) immediately. </w:t>
      </w:r>
    </w:p>
    <w:p w14:paraId="56BCDB8E" w14:textId="77777777" w:rsidR="002B34C4" w:rsidRDefault="002B34C4"/>
    <w:p w14:paraId="5292AD49" w14:textId="77777777" w:rsidR="002B34C4" w:rsidRDefault="002B34C4">
      <w:r>
        <w:t>The contextual nuance reveals that a holy vessel is incomplete without its proper spiritual function. The table exists for the bread, and the bread must be arranged exactly as God commanded. Performing this arrangement is an act of obedience that consecrates the physical space, transforming a golden table into an active station of covenant fellowship.</w:t>
      </w:r>
    </w:p>
    <w:p w14:paraId="3077C5BC" w14:textId="77777777" w:rsidR="002B34C4" w:rsidRDefault="002B34C4"/>
    <w:p w14:paraId="0629C1F3" w14:textId="77777777" w:rsidR="002B34C4" w:rsidRPr="002B34C4" w:rsidRDefault="002B34C4">
      <w:pPr>
        <w:rPr>
          <w:b/>
        </w:rPr>
      </w:pPr>
      <w:r w:rsidRPr="002B34C4">
        <w:rPr>
          <w:b/>
        </w:rPr>
        <w:t xml:space="preserve"> 6. Key Uses in Other Verses (NKJV)</w:t>
      </w:r>
    </w:p>
    <w:p w14:paraId="706F45F4" w14:textId="77777777" w:rsidR="002B34C4" w:rsidRDefault="002B34C4">
      <w:r>
        <w:t>• Leviticus 27:3 – "then your valuation shall be fifty shekels of silver, according to the shekel of the sanctuary, for a male from twenty up to sixty years old."</w:t>
      </w:r>
    </w:p>
    <w:p w14:paraId="4B2CBD41" w14:textId="77777777" w:rsidR="002B34C4" w:rsidRDefault="002B34C4">
      <w:r>
        <w:t>• Judges 17:10 – "Micah said to him, 'Dwell with me, and be a father and a priest to me, and I will give you ten shekels of silver each year, a suit of clothes, and your sustenance.' So the Levite went in."</w:t>
      </w:r>
    </w:p>
    <w:p w14:paraId="0D550BF8" w14:textId="77777777" w:rsidR="002B34C4" w:rsidRDefault="002B34C4">
      <w:r>
        <w:t>• Psalm 55:13 – "But it was you, a man my equal, My companion and my acquaintance."</w:t>
      </w:r>
    </w:p>
    <w:p w14:paraId="59DE541B" w14:textId="77777777" w:rsidR="002B34C4" w:rsidRDefault="002B34C4"/>
    <w:p w14:paraId="52E34B14" w14:textId="77777777" w:rsidR="002B34C4" w:rsidRPr="002B34C4" w:rsidRDefault="002B34C4">
      <w:pPr>
        <w:rPr>
          <w:b/>
        </w:rPr>
      </w:pPr>
      <w:r w:rsidRPr="002B34C4">
        <w:rPr>
          <w:b/>
        </w:rPr>
        <w:t xml:space="preserve"> 7. Other Relevant Insights</w:t>
      </w:r>
    </w:p>
    <w:p w14:paraId="2278CE80" w14:textId="77777777" w:rsidR="002B34C4" w:rsidRDefault="002B34C4">
      <w:r>
        <w:t xml:space="preserve">The Greek translation of the Old Testament (the Septuagint) translates erek in Exodus 40:4 using the noun prothesis, which means "a setting forth" or "presentation." </w:t>
      </w:r>
    </w:p>
    <w:p w14:paraId="2530B714" w14:textId="77777777" w:rsidR="002B34C4" w:rsidRDefault="002B34C4"/>
    <w:p w14:paraId="2744F68C" w14:textId="77777777" w:rsidR="002B34C4" w:rsidRDefault="002B34C4">
      <w:r>
        <w:t>This Greek term is the same word used in the New Testament to describe the showbread (artoi tes protheseos, "the bread of presentation" or "bread of the Presence"). This linguistic connection links the orderly arrangement of the Tabernacle bread directly to Jesus Christ, who is presented to the world as the Bread of Life. He is the ultimate, perfect arrangement of divine provision set forth for the nourishment of God's people.</w:t>
      </w:r>
    </w:p>
    <w:p w14:paraId="3F3AAD6C" w14:textId="77777777" w:rsidR="002B34C4" w:rsidRDefault="002B34C4"/>
    <w:p w14:paraId="4E3E1EC1" w14:textId="77777777" w:rsidR="002B34C4" w:rsidRPr="002B34C4" w:rsidRDefault="002B34C4">
      <w:pPr>
        <w:rPr>
          <w:b/>
        </w:rPr>
      </w:pPr>
      <w:r w:rsidRPr="002B34C4">
        <w:rPr>
          <w:b/>
        </w:rPr>
        <w:t xml:space="preserve"> 8. References</w:t>
      </w:r>
    </w:p>
    <w:p w14:paraId="5A6A9718" w14:textId="77777777" w:rsidR="002B34C4" w:rsidRDefault="002B34C4">
      <w:r>
        <w:t>• Brown-Driver-Briggs Hebrew and English Lexicon</w:t>
      </w:r>
    </w:p>
    <w:p w14:paraId="3C15F763" w14:textId="77777777" w:rsidR="002B34C4" w:rsidRDefault="002B34C4">
      <w:r>
        <w:t>• Hebrew-Aramaic Lexicon of the Old Testament</w:t>
      </w:r>
    </w:p>
    <w:p w14:paraId="1D435F47" w14:textId="77777777" w:rsidR="002B34C4" w:rsidRDefault="002B34C4">
      <w:r>
        <w:t>• Theological Wordbook of the Old Testament</w:t>
      </w:r>
    </w:p>
    <w:p w14:paraId="04F9B2E9" w14:textId="77777777" w:rsidR="002B34C4" w:rsidRDefault="002B34C4">
      <w:r>
        <w:t>• Nelson's Expository Dictionary of the Old Testament</w:t>
      </w:r>
    </w:p>
    <w:p w14:paraId="06CC93AA" w14:textId="7A51445F" w:rsidR="004C5552" w:rsidRDefault="002B34C4">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34C4"/>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608EC"/>
  <w15:chartTrackingRefBased/>
  <w15:docId w15:val="{88932C2C-BAD5-4F2B-8889-2FF56375A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3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3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4C4"/>
    <w:rPr>
      <w:rFonts w:eastAsiaTheme="majorEastAsia" w:cstheme="majorBidi"/>
      <w:color w:val="272727" w:themeColor="text1" w:themeTint="D8"/>
    </w:rPr>
  </w:style>
  <w:style w:type="paragraph" w:styleId="Title">
    <w:name w:val="Title"/>
    <w:basedOn w:val="Normal"/>
    <w:next w:val="Normal"/>
    <w:link w:val="TitleChar"/>
    <w:uiPriority w:val="10"/>
    <w:qFormat/>
    <w:rsid w:val="002B3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4C4"/>
    <w:pPr>
      <w:spacing w:before="160"/>
      <w:jc w:val="center"/>
    </w:pPr>
    <w:rPr>
      <w:i/>
      <w:iCs/>
      <w:color w:val="404040" w:themeColor="text1" w:themeTint="BF"/>
    </w:rPr>
  </w:style>
  <w:style w:type="character" w:customStyle="1" w:styleId="QuoteChar">
    <w:name w:val="Quote Char"/>
    <w:basedOn w:val="DefaultParagraphFont"/>
    <w:link w:val="Quote"/>
    <w:uiPriority w:val="29"/>
    <w:rsid w:val="002B34C4"/>
    <w:rPr>
      <w:i/>
      <w:iCs/>
      <w:color w:val="404040" w:themeColor="text1" w:themeTint="BF"/>
    </w:rPr>
  </w:style>
  <w:style w:type="paragraph" w:styleId="ListParagraph">
    <w:name w:val="List Paragraph"/>
    <w:basedOn w:val="Normal"/>
    <w:uiPriority w:val="34"/>
    <w:qFormat/>
    <w:rsid w:val="002B34C4"/>
    <w:pPr>
      <w:ind w:left="720"/>
      <w:contextualSpacing/>
    </w:pPr>
  </w:style>
  <w:style w:type="character" w:styleId="IntenseEmphasis">
    <w:name w:val="Intense Emphasis"/>
    <w:basedOn w:val="DefaultParagraphFont"/>
    <w:uiPriority w:val="21"/>
    <w:qFormat/>
    <w:rsid w:val="002B34C4"/>
    <w:rPr>
      <w:i/>
      <w:iCs/>
      <w:color w:val="2E74B5" w:themeColor="accent1" w:themeShade="BF"/>
    </w:rPr>
  </w:style>
  <w:style w:type="paragraph" w:styleId="IntenseQuote">
    <w:name w:val="Intense Quote"/>
    <w:basedOn w:val="Normal"/>
    <w:next w:val="Normal"/>
    <w:link w:val="IntenseQuoteChar"/>
    <w:uiPriority w:val="30"/>
    <w:qFormat/>
    <w:rsid w:val="002B34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34C4"/>
    <w:rPr>
      <w:i/>
      <w:iCs/>
      <w:color w:val="2E74B5" w:themeColor="accent1" w:themeShade="BF"/>
    </w:rPr>
  </w:style>
  <w:style w:type="character" w:styleId="IntenseReference">
    <w:name w:val="Intense Reference"/>
    <w:basedOn w:val="DefaultParagraphFont"/>
    <w:uiPriority w:val="32"/>
    <w:qFormat/>
    <w:rsid w:val="002B34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2026-08-14T11:41:00Z</dcterms:modified>
</cp:coreProperties>
</file>