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76599" w14:textId="77777777" w:rsidR="00B462BE" w:rsidRPr="00B462BE" w:rsidRDefault="00B462BE">
      <w:pPr>
        <w:rPr>
          <w:b/>
        </w:rPr>
      </w:pPr>
      <w:r w:rsidRPr="00B462BE">
        <w:rPr>
          <w:b/>
        </w:rPr>
        <w:t>SCREEN - ( masak , Strong's H4539 )</w:t>
      </w:r>
    </w:p>
    <w:p w14:paraId="48F44F48" w14:textId="77777777" w:rsidR="00B462BE" w:rsidRDefault="00B462BE">
      <w:r w:rsidRPr="00B462BE">
        <w:rPr>
          <w:b/>
        </w:rPr>
        <w:t>Summary:</w:t>
      </w:r>
    </w:p>
    <w:p w14:paraId="6130DA60" w14:textId="77777777" w:rsidR="00B462BE" w:rsidRDefault="00B462BE">
      <w:r>
        <w:t>The Hebrew noun masak refers to a protective covering, screen, or hanging used to partition space, specifically within the sacred architecture of the Tabernacle. In Exodus 40:5, it designates the hanging or "screen" at the entrance (door) of the Tabernacle, which functioned as a physical and visual barrier. This screen separated the outer courtyard—where the community gathered and sacrifices were made—from the Holy Place, which was accessible only to the priests. It served as a functional boundary of sacred space, safeguarding the holiness of God's dwelling place while simultaneously welcoming those authorized to enter.</w:t>
      </w:r>
    </w:p>
    <w:p w14:paraId="08F6C97A" w14:textId="77777777" w:rsidR="00B462BE" w:rsidRDefault="00B462BE"/>
    <w:p w14:paraId="44F0C016" w14:textId="77777777" w:rsidR="00B462BE" w:rsidRDefault="00B462BE">
      <w:r w:rsidRPr="00B462BE">
        <w:rPr>
          <w:b/>
        </w:rPr>
        <w:t>Full Study:</w:t>
      </w:r>
    </w:p>
    <w:p w14:paraId="7648D749" w14:textId="77777777" w:rsidR="00B462BE" w:rsidRDefault="00B462BE"/>
    <w:p w14:paraId="0FDF4486" w14:textId="77777777" w:rsidR="00B462BE" w:rsidRPr="00B462BE" w:rsidRDefault="00B462BE">
      <w:pPr>
        <w:rPr>
          <w:b/>
        </w:rPr>
      </w:pPr>
      <w:r w:rsidRPr="00B462BE">
        <w:rPr>
          <w:b/>
        </w:rPr>
        <w:t>1. Word Picture / Background</w:t>
      </w:r>
    </w:p>
    <w:p w14:paraId="675CF56F" w14:textId="77777777" w:rsidR="00B462BE" w:rsidRDefault="00B462BE">
      <w:r>
        <w:t>• The noun masak is derived from the root sakak, which means to hedge, fence, weave together, cover, or protect.</w:t>
      </w:r>
    </w:p>
    <w:p w14:paraId="15FF5605" w14:textId="77777777" w:rsidR="00B462BE" w:rsidRDefault="00B462BE">
      <w:r>
        <w:t>• Historically, the word picture is that of weaving fibers together to create a protective barrier or canopy. It evokes the image of a shield or defense that blocks both physical entry and visual gaze.</w:t>
      </w:r>
    </w:p>
    <w:p w14:paraId="275611F9" w14:textId="77777777" w:rsidR="00B462BE" w:rsidRDefault="00B462BE">
      <w:r>
        <w:t>• In the ancient Near East, nomadic tents used heavy woven hangings at their entrances to protect the interior from dust, wind, heat, and intruders. In the context of the Tabernacle, this common architectural feature was elevated to a sacred function, woven from fine linen and expensive blue, purple, and scarlet threads, signaling that the space within was of supreme value and holiness.</w:t>
      </w:r>
    </w:p>
    <w:p w14:paraId="05DCA7C4" w14:textId="77777777" w:rsidR="00B462BE" w:rsidRDefault="00B462BE"/>
    <w:p w14:paraId="530FE919" w14:textId="77777777" w:rsidR="00B462BE" w:rsidRPr="00B462BE" w:rsidRDefault="00B462BE">
      <w:pPr>
        <w:rPr>
          <w:b/>
        </w:rPr>
      </w:pPr>
      <w:r w:rsidRPr="00B462BE">
        <w:rPr>
          <w:b/>
        </w:rPr>
        <w:t>2. Meaning / Lexical Definition</w:t>
      </w:r>
    </w:p>
    <w:p w14:paraId="3461575F" w14:textId="77777777" w:rsidR="00B462BE" w:rsidRDefault="00B462BE">
      <w:r>
        <w:t>• Masak refers to a curtain, hanging, screen, or covering.</w:t>
      </w:r>
    </w:p>
    <w:p w14:paraId="527EAFBD" w14:textId="77777777" w:rsidR="00B462BE" w:rsidRDefault="00B462BE">
      <w:r>
        <w:t>• It is distinct from paroket, which is the specific "veil" or "curtain" that separated the Holy Place from the Most Holy Place (containing the Ark of the Covenant). While the paroket blocked the way to the Holy of Holies, the masak served as the screen for the outer entrances: the entrance to the Holy Place (the door of the Tabernacle) and the entrance to the surrounding courtyard.</w:t>
      </w:r>
    </w:p>
    <w:p w14:paraId="3992043B" w14:textId="77777777" w:rsidR="00B462BE" w:rsidRDefault="00B462BE">
      <w:r>
        <w:t>• The primary lexical sense in Exodus 40:5 is a hanging of fine-twined linen, embroidered with artistic needlework, suspended on gold-plated pillars to serve as the outer door of the Tabernacle tent.</w:t>
      </w:r>
    </w:p>
    <w:p w14:paraId="245F5C8E" w14:textId="77777777" w:rsidR="00B462BE" w:rsidRDefault="00B462BE"/>
    <w:p w14:paraId="1F06B95C" w14:textId="77777777" w:rsidR="00B462BE" w:rsidRPr="00B462BE" w:rsidRDefault="00B462BE">
      <w:pPr>
        <w:rPr>
          <w:b/>
        </w:rPr>
      </w:pPr>
      <w:r w:rsidRPr="00B462BE">
        <w:rPr>
          <w:b/>
        </w:rPr>
        <w:t>3. Usage and Word Pictures</w:t>
      </w:r>
    </w:p>
    <w:p w14:paraId="40D55F65" w14:textId="77777777" w:rsidR="00B462BE" w:rsidRDefault="00B462BE">
      <w:r>
        <w:t>• Masak is used almost exclusively in the Pentateuch (specifically Exodus and Numbers) to describe the textile screens of the sanctuary.</w:t>
      </w:r>
    </w:p>
    <w:p w14:paraId="6A6EC9EC" w14:textId="77777777" w:rsidR="00B462BE" w:rsidRDefault="00B462BE">
      <w:r>
        <w:t>• There are three primary applications of masak in the Tabernacle complex:</w:t>
      </w:r>
    </w:p>
    <w:p w14:paraId="7B648931" w14:textId="77777777" w:rsidR="00B462BE" w:rsidRDefault="00B462BE">
      <w:r>
        <w:t>• The screen for the doorway of the Tabernacle tent (Exodus 26:36; 40:5).</w:t>
      </w:r>
    </w:p>
    <w:p w14:paraId="4A08505A" w14:textId="77777777" w:rsidR="00B462BE" w:rsidRDefault="00B462BE">
      <w:r>
        <w:t>• The screen for the gate of the outer courtyard (Exodus 27:16; 40:33).</w:t>
      </w:r>
    </w:p>
    <w:p w14:paraId="09B3EA1E" w14:textId="77777777" w:rsidR="00B462BE" w:rsidRDefault="00B462BE">
      <w:r>
        <w:t>• The screen that covered or shielded the Ark of the Testimony, often called the "screening veil" (paroket hammasak) (Exodus 35:12; 40:21).</w:t>
      </w:r>
    </w:p>
    <w:p w14:paraId="64FC0091" w14:textId="77777777" w:rsidR="00B462BE" w:rsidRDefault="00B462BE">
      <w:r>
        <w:t>• The metaphorical extension of the root sakak is seen in passages like Psalm 105:39, where God spread a cloud for a "covering" (masak) to protect the Israelites from the desert sun during the Exodus. This links the idea of the Tabernacle screen to God’s personal, providential overshadowing and protection of His people.</w:t>
      </w:r>
    </w:p>
    <w:p w14:paraId="71221F7D" w14:textId="77777777" w:rsidR="00B462BE" w:rsidRDefault="00B462BE"/>
    <w:p w14:paraId="50DE4192" w14:textId="77777777" w:rsidR="00B462BE" w:rsidRPr="00B462BE" w:rsidRDefault="00B462BE">
      <w:pPr>
        <w:rPr>
          <w:b/>
        </w:rPr>
      </w:pPr>
      <w:r w:rsidRPr="00B462BE">
        <w:rPr>
          <w:b/>
        </w:rPr>
        <w:t>4. Theological Implications</w:t>
      </w:r>
    </w:p>
    <w:p w14:paraId="5C9A4D9B" w14:textId="77777777" w:rsidR="00B462BE" w:rsidRDefault="00B462BE">
      <w:r>
        <w:t>• The Graduation of Sacred Space: The masak illustrates the biblical theology of holiness and access. God’s presence is not casually approachable. The Tabernacle featured layers of boundaries (the courtyard screen, the Tabernacle door screen, and the inner veil) that represented increasing degrees of holiness.</w:t>
      </w:r>
    </w:p>
    <w:p w14:paraId="3213B4A0" w14:textId="77777777" w:rsidR="00B462BE" w:rsidRDefault="00B462BE">
      <w:r>
        <w:t>• Protection of the People: The screen was not merely a barrier to keep people out; it was a protection for the people themselves. To enter God's holy presence unworthily or without authorization meant death. The screen served as a merciful boundary, keeping a sinful humanity at a safe distance from the consuming fire of God's glory.</w:t>
      </w:r>
    </w:p>
    <w:p w14:paraId="6C64EA50" w14:textId="77777777" w:rsidR="00B462BE" w:rsidRDefault="00B462BE">
      <w:r>
        <w:t>• Christological Fulfillment: In the New Testament, Christ is the ultimate fulfillment of these sacred barriers. He is the "door" (John 10:9) through whom believers enter into fellowship with God. Because His body was broken, the barrier of separation has been removed, allowing believers bold access to the throne of grace.</w:t>
      </w:r>
    </w:p>
    <w:p w14:paraId="58668017" w14:textId="77777777" w:rsidR="00B462BE" w:rsidRDefault="00B462BE"/>
    <w:p w14:paraId="71FD17EB" w14:textId="77777777" w:rsidR="00B462BE" w:rsidRPr="00B462BE" w:rsidRDefault="00B462BE">
      <w:pPr>
        <w:rPr>
          <w:b/>
        </w:rPr>
      </w:pPr>
      <w:r w:rsidRPr="00B462BE">
        <w:rPr>
          <w:b/>
        </w:rPr>
        <w:t>5. Contextual Nuance in the Passage</w:t>
      </w:r>
    </w:p>
    <w:p w14:paraId="30339037" w14:textId="77777777" w:rsidR="00B462BE" w:rsidRDefault="00B462BE">
      <w:r>
        <w:t>• In Exodus 40:5, Moses is receiving the final instructions for assembling and erecting the Tabernacle on the first day of the first month.</w:t>
      </w:r>
    </w:p>
    <w:p w14:paraId="6BFD811D" w14:textId="77777777" w:rsidR="00B462BE" w:rsidRDefault="00B462BE">
      <w:r>
        <w:t>• The placement of the "screen for the door of the tabernacle" occurs immediately after placing the golden altar of incense before the ark of the Testimony (which was behind the inner veil).</w:t>
      </w:r>
    </w:p>
    <w:p w14:paraId="32E302FA" w14:textId="77777777" w:rsidR="00B462BE" w:rsidRDefault="00B462BE">
      <w:r>
        <w:t>• By hanging this screen, the interior of the Tabernacle (the Holy Place) was officially closed off from the public view of the courtyard. It marked the completion of the Tabernacle's structural envelope, transforming it from an open framework of pillars and boards into a secluded, consecrated sanctuary ready to receive the indwelling cloud of Yahweh's glory (Exodus 40:34-35).</w:t>
      </w:r>
    </w:p>
    <w:p w14:paraId="7C1E286E" w14:textId="77777777" w:rsidR="00B462BE" w:rsidRDefault="00B462BE"/>
    <w:p w14:paraId="62B1A4A9" w14:textId="77777777" w:rsidR="00B462BE" w:rsidRPr="00B462BE" w:rsidRDefault="00B462BE">
      <w:pPr>
        <w:rPr>
          <w:b/>
        </w:rPr>
      </w:pPr>
      <w:r w:rsidRPr="00B462BE">
        <w:rPr>
          <w:b/>
        </w:rPr>
        <w:t>6. Key Uses in Other Verses (NKJV)</w:t>
      </w:r>
    </w:p>
    <w:p w14:paraId="7BB30B19" w14:textId="77777777" w:rsidR="00B462BE" w:rsidRDefault="00B462BE">
      <w:r>
        <w:t>• Exodus 26:36: "You shall make a screen for the door of the tabernacle, woven of blue, purple, and scarlet thread, and fine woven linen, made by an embroiderer."</w:t>
      </w:r>
    </w:p>
    <w:p w14:paraId="714DBBD9" w14:textId="77777777" w:rsidR="00B462BE" w:rsidRDefault="00B462BE">
      <w:r>
        <w:t>• Exodus 35:12: "the ark and its poles, with the mercy seat, and the veil of the covering;"</w:t>
      </w:r>
    </w:p>
    <w:p w14:paraId="199A7889" w14:textId="77777777" w:rsidR="00B462BE" w:rsidRDefault="00B462BE">
      <w:r>
        <w:t>• Exodus 40:28: "He hung up the screen at the door of the tabernacle."</w:t>
      </w:r>
    </w:p>
    <w:p w14:paraId="55A9DF83" w14:textId="77777777" w:rsidR="00B462BE" w:rsidRDefault="00B462BE">
      <w:r>
        <w:t>• Numbers 3:25: "The duties of the children of Gershon in the tabernacle of meeting included the tabernacle, the tent with its covering, the screen for the door of the tabernacle of meeting,"</w:t>
      </w:r>
    </w:p>
    <w:p w14:paraId="590067A9" w14:textId="77777777" w:rsidR="00B462BE" w:rsidRDefault="00B462BE">
      <w:r>
        <w:t>• Numbers 4:26: "the hangings of the court and the screen for the door of the gate of the court..."</w:t>
      </w:r>
    </w:p>
    <w:p w14:paraId="2BAFE86F" w14:textId="77777777" w:rsidR="00B462BE" w:rsidRDefault="00B462BE"/>
    <w:p w14:paraId="528C7806" w14:textId="77777777" w:rsidR="00B462BE" w:rsidRPr="00B462BE" w:rsidRDefault="00B462BE">
      <w:pPr>
        <w:rPr>
          <w:b/>
        </w:rPr>
      </w:pPr>
      <w:r w:rsidRPr="00B462BE">
        <w:rPr>
          <w:b/>
        </w:rPr>
        <w:t>7. Other Relevant Insights</w:t>
      </w:r>
    </w:p>
    <w:p w14:paraId="24AED1C3" w14:textId="77777777" w:rsidR="00B462BE" w:rsidRDefault="00B462BE">
      <w:r>
        <w:t>• Artistry and Craftsmanship: The screen was not a plain curtain. It was crafted by an embroiderer using precious materials. The beauty of the screen served as an invitation, demonstrating that while God's presence was restricted, it was also beautiful, glorious, and desirable.</w:t>
      </w:r>
    </w:p>
    <w:p w14:paraId="6C493CB7" w14:textId="77777777" w:rsidR="00B462BE" w:rsidRDefault="00B462BE">
      <w:r>
        <w:t>• Linguistic Distinction: Unlike the inner veil (paroket), which was embroidered with cherubim (Exodus 26:31) representing the heavenly boundary of God's throne room, the outer screen (masak) had no cherubim embroidered on it (Exodus 26:36). It was decorated with colorful patterns but lacked the fearsome guardians of the inner sanctum, reflecting its position as an outer, more accessible boundary.</w:t>
      </w:r>
    </w:p>
    <w:p w14:paraId="5309817E" w14:textId="77777777" w:rsidR="00B462BE" w:rsidRDefault="00B462BE"/>
    <w:p w14:paraId="1FCA8019" w14:textId="77777777" w:rsidR="00B462BE" w:rsidRPr="00B462BE" w:rsidRDefault="00B462BE">
      <w:pPr>
        <w:rPr>
          <w:b/>
        </w:rPr>
      </w:pPr>
      <w:r w:rsidRPr="00B462BE">
        <w:rPr>
          <w:b/>
        </w:rPr>
        <w:t>8. References</w:t>
      </w:r>
    </w:p>
    <w:p w14:paraId="779CF4F6" w14:textId="77777777" w:rsidR="00B462BE" w:rsidRDefault="00B462BE">
      <w:r>
        <w:t>• Brown, Driver, and Briggs. Hebrew and English Lexicon of the Old Testament.</w:t>
      </w:r>
    </w:p>
    <w:p w14:paraId="36DE2D46" w14:textId="77777777" w:rsidR="00B462BE" w:rsidRDefault="00B462BE">
      <w:r>
        <w:t>• Harris, R. Laird, Gleason L. Archer Jr., and Bruce K. Waltke. Theological Wordbook of the Old Testament.</w:t>
      </w:r>
    </w:p>
    <w:p w14:paraId="1634CF1D" w14:textId="77777777" w:rsidR="00B462BE" w:rsidRDefault="00B462BE">
      <w:r>
        <w:t>• Koehler, Ludwig, and Walter Baumgartner. Hebrew and Aramaic Lexicon of the Old Testament.</w:t>
      </w:r>
    </w:p>
    <w:p w14:paraId="35A96F32" w14:textId="77777777" w:rsidR="00B462BE" w:rsidRDefault="00B462BE">
      <w:r>
        <w:t>• Renn, Stephen D. Expository Dictionary of Bible Words.</w:t>
      </w:r>
    </w:p>
    <w:p w14:paraId="5A845BFA" w14:textId="401BB113" w:rsidR="004C5552" w:rsidRDefault="00B462BE">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2B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462BE"/>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14401"/>
  <w15:chartTrackingRefBased/>
  <w15:docId w15:val="{DB12A878-5FE0-4555-8D58-005F72F86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462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2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2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2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462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2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2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2BE"/>
    <w:rPr>
      <w:rFonts w:eastAsiaTheme="majorEastAsia" w:cstheme="majorBidi"/>
      <w:color w:val="272727" w:themeColor="text1" w:themeTint="D8"/>
    </w:rPr>
  </w:style>
  <w:style w:type="paragraph" w:styleId="Title">
    <w:name w:val="Title"/>
    <w:basedOn w:val="Normal"/>
    <w:next w:val="Normal"/>
    <w:link w:val="TitleChar"/>
    <w:uiPriority w:val="10"/>
    <w:qFormat/>
    <w:rsid w:val="00B46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2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2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2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2BE"/>
    <w:pPr>
      <w:spacing w:before="160"/>
      <w:jc w:val="center"/>
    </w:pPr>
    <w:rPr>
      <w:i/>
      <w:iCs/>
      <w:color w:val="404040" w:themeColor="text1" w:themeTint="BF"/>
    </w:rPr>
  </w:style>
  <w:style w:type="character" w:customStyle="1" w:styleId="QuoteChar">
    <w:name w:val="Quote Char"/>
    <w:basedOn w:val="DefaultParagraphFont"/>
    <w:link w:val="Quote"/>
    <w:uiPriority w:val="29"/>
    <w:rsid w:val="00B462BE"/>
    <w:rPr>
      <w:i/>
      <w:iCs/>
      <w:color w:val="404040" w:themeColor="text1" w:themeTint="BF"/>
    </w:rPr>
  </w:style>
  <w:style w:type="paragraph" w:styleId="ListParagraph">
    <w:name w:val="List Paragraph"/>
    <w:basedOn w:val="Normal"/>
    <w:uiPriority w:val="34"/>
    <w:qFormat/>
    <w:rsid w:val="00B462BE"/>
    <w:pPr>
      <w:ind w:left="720"/>
      <w:contextualSpacing/>
    </w:pPr>
  </w:style>
  <w:style w:type="character" w:styleId="IntenseEmphasis">
    <w:name w:val="Intense Emphasis"/>
    <w:basedOn w:val="DefaultParagraphFont"/>
    <w:uiPriority w:val="21"/>
    <w:qFormat/>
    <w:rsid w:val="00B462BE"/>
    <w:rPr>
      <w:i/>
      <w:iCs/>
      <w:color w:val="2E74B5" w:themeColor="accent1" w:themeShade="BF"/>
    </w:rPr>
  </w:style>
  <w:style w:type="paragraph" w:styleId="IntenseQuote">
    <w:name w:val="Intense Quote"/>
    <w:basedOn w:val="Normal"/>
    <w:next w:val="Normal"/>
    <w:link w:val="IntenseQuoteChar"/>
    <w:uiPriority w:val="30"/>
    <w:qFormat/>
    <w:rsid w:val="00B462B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462BE"/>
    <w:rPr>
      <w:i/>
      <w:iCs/>
      <w:color w:val="2E74B5" w:themeColor="accent1" w:themeShade="BF"/>
    </w:rPr>
  </w:style>
  <w:style w:type="character" w:styleId="IntenseReference">
    <w:name w:val="Intense Reference"/>
    <w:basedOn w:val="DefaultParagraphFont"/>
    <w:uiPriority w:val="32"/>
    <w:qFormat/>
    <w:rsid w:val="00B462B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971</Words>
  <Characters>5535</Characters>
  <Application>Microsoft Office Word</Application>
  <DocSecurity>0</DocSecurity>
  <Lines>46</Lines>
  <Paragraphs>12</Paragraphs>
  <ScaleCrop>false</ScaleCrop>
  <Company/>
  <LinksUpToDate>false</LinksUpToDate>
  <CharactersWithSpaces>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2026-08-14T11:41:00Z</dcterms:created>
  <dcterms:modified xsi:type="dcterms:W3CDTF">2026-08-14T11:41:00Z</dcterms:modified>
</cp:coreProperties>
</file>