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12DE" w14:textId="77777777" w:rsidR="004110E4" w:rsidRPr="004110E4" w:rsidRDefault="004110E4">
      <w:pPr>
        <w:rPr>
          <w:b/>
        </w:rPr>
      </w:pPr>
      <w:r w:rsidRPr="004110E4">
        <w:rPr>
          <w:b/>
        </w:rPr>
        <w:t>SCREEN - ( masak , Strong's H4539 )</w:t>
      </w:r>
    </w:p>
    <w:p w14:paraId="1B6414C6" w14:textId="77777777" w:rsidR="004110E4" w:rsidRDefault="004110E4">
      <w:r w:rsidRPr="004110E4">
        <w:rPr>
          <w:b/>
        </w:rPr>
        <w:t>Summary:</w:t>
      </w:r>
    </w:p>
    <w:p w14:paraId="2C5504FC" w14:textId="77777777" w:rsidR="004110E4" w:rsidRDefault="004110E4">
      <w:r>
        <w:t>The Hebrew noun masak refers to a protective screen, hanging, or curtain used to regulate access and define boundaries within the Tabernacle. Derived from a root meaning to cover, shield, or protect, this term specifically identifies the heavy, ornamental draperies placed at the entrance of the Holy Place and the gate of the outer courtyard. In Exodus 40:8, the screen at the court gate marks the sole authorized entrance into the sacred compound. It visually symbolizes both the holiness of God's presence, which restricts casual entry, and His grace, which provides a beautiful, designated pathway for His people to approach Him.</w:t>
      </w:r>
    </w:p>
    <w:p w14:paraId="0ADA9EAC" w14:textId="77777777" w:rsidR="004110E4" w:rsidRDefault="004110E4"/>
    <w:p w14:paraId="7BDB18A2" w14:textId="77777777" w:rsidR="004110E4" w:rsidRDefault="004110E4">
      <w:r w:rsidRPr="004110E4">
        <w:rPr>
          <w:b/>
        </w:rPr>
        <w:t>Full Study:</w:t>
      </w:r>
    </w:p>
    <w:p w14:paraId="64D0DF00" w14:textId="77777777" w:rsidR="004110E4" w:rsidRDefault="004110E4"/>
    <w:p w14:paraId="15428F2F" w14:textId="77777777" w:rsidR="004110E4" w:rsidRPr="004110E4" w:rsidRDefault="004110E4">
      <w:pPr>
        <w:rPr>
          <w:b/>
        </w:rPr>
      </w:pPr>
      <w:r w:rsidRPr="004110E4">
        <w:rPr>
          <w:b/>
        </w:rPr>
        <w:t>1. Word Picture / Background</w:t>
      </w:r>
    </w:p>
    <w:p w14:paraId="00DB9120" w14:textId="77777777" w:rsidR="004110E4" w:rsidRDefault="004110E4">
      <w:r>
        <w:t>The noun masak derives from the verbal root sakak, which carries the primary meaning of overshadowing, hedging in, shutting off, or protecting. The concrete imagery behind the word is that of a physical shield or protective cover that guards a vulnerable area from exposure or intrusion. In the ancient Near Eastern context, tents used heavy, woven draperies at their entrances to safeguard privacy, block dust and wind, and establish a clear distinction between the private interior and the public exterior. When applied to the Tabernacle, this everyday nomadic feature was elevated to a sacred instrument, serving as a beautiful yet firm barrier that guarded the holy ground of Yahweh's dwelling place from profane contact.</w:t>
      </w:r>
    </w:p>
    <w:p w14:paraId="7B92D754" w14:textId="77777777" w:rsidR="004110E4" w:rsidRDefault="004110E4"/>
    <w:p w14:paraId="1418D485" w14:textId="77777777" w:rsidR="004110E4" w:rsidRPr="004110E4" w:rsidRDefault="004110E4">
      <w:pPr>
        <w:rPr>
          <w:b/>
        </w:rPr>
      </w:pPr>
      <w:r w:rsidRPr="004110E4">
        <w:rPr>
          <w:b/>
        </w:rPr>
        <w:t>2. Meaning / Lexical Definition</w:t>
      </w:r>
    </w:p>
    <w:p w14:paraId="4A883645" w14:textId="77777777" w:rsidR="004110E4" w:rsidRDefault="004110E4">
      <w:r>
        <w:t>The term masak designates a screen, hanging, or covering. It is distinct from the inner veil (paroket), which separated the Holy Place from the Holy of Holies, though both functioned as sacred barriers. Masak specifically refers to the three outer draperies of the sanctuary: the screen at the entrance of the Tabernacle tent (Exodus 26:36), the screen at the gate of the outer courtyard (Exodus 40:8), and the protective covering used to shield the Ark of the Covenant during transport (Numbers 4:5). Lexically, it denotes a movable fabric partition that functions as a gate or door.</w:t>
      </w:r>
    </w:p>
    <w:p w14:paraId="419AF6D1" w14:textId="77777777" w:rsidR="004110E4" w:rsidRDefault="004110E4"/>
    <w:p w14:paraId="7CF23518" w14:textId="77777777" w:rsidR="004110E4" w:rsidRPr="004110E4" w:rsidRDefault="004110E4">
      <w:pPr>
        <w:rPr>
          <w:b/>
        </w:rPr>
      </w:pPr>
      <w:r w:rsidRPr="004110E4">
        <w:rPr>
          <w:b/>
        </w:rPr>
        <w:t>3. Usage and Word Pictures</w:t>
      </w:r>
    </w:p>
    <w:p w14:paraId="374D4AA9" w14:textId="77777777" w:rsidR="004110E4" w:rsidRDefault="004110E4">
      <w:r>
        <w:t>The Tabernacle architecture employed a system of graded sanctity, and the masak served as the physical threshold between these different zones. The word picture is one of selective, mediated access. Unlike a solid wooden or stone door, a fabric screen could be easily drawn aside, yet it remained an impassable boundary for those not ceremonially qualified to enter. It visually reinforced the reality that approaching God was not a casual endeavor. The screen stood as a continuous physical reminder of the boundary between the common world and the consecrated presence of the Lord.</w:t>
      </w:r>
    </w:p>
    <w:p w14:paraId="50612B98" w14:textId="77777777" w:rsidR="004110E4" w:rsidRDefault="004110E4"/>
    <w:p w14:paraId="2FCAC74B" w14:textId="77777777" w:rsidR="004110E4" w:rsidRPr="004110E4" w:rsidRDefault="004110E4">
      <w:pPr>
        <w:rPr>
          <w:b/>
        </w:rPr>
      </w:pPr>
      <w:r w:rsidRPr="004110E4">
        <w:rPr>
          <w:b/>
        </w:rPr>
        <w:t>4. Theological Implications</w:t>
      </w:r>
    </w:p>
    <w:p w14:paraId="045B8574" w14:textId="77777777" w:rsidR="004110E4" w:rsidRDefault="004110E4">
      <w:r>
        <w:t>Theologically, masak illustrates the dual nature of God's relationship with humanity under the Old Covenant: holiness and accessibility. God's absolute holiness demands separation from sin, which the screen physically symbolized by blocking direct sight and entry into the sacred space. At the same time, the screen was not a solid wall; it was an entrance. It demonstrated God's desire to dwell among His people by providing a clearly marked, beautiful pathway of approach. In the light of the New Testament, these screens find their ultimate fulfillment in Jesus Christ, who describes Himself as "the door" (John 10:9) and "the way" (John 14:6). While the Old Testament screens regulated and restricted access to God's presence, the work of Christ has opened a new and living way, allowing believers to enter the true sanctuary with boldness.</w:t>
      </w:r>
    </w:p>
    <w:p w14:paraId="241CEE7F" w14:textId="77777777" w:rsidR="004110E4" w:rsidRDefault="004110E4"/>
    <w:p w14:paraId="0CD366A2" w14:textId="77777777" w:rsidR="004110E4" w:rsidRPr="004110E4" w:rsidRDefault="004110E4">
      <w:pPr>
        <w:rPr>
          <w:b/>
        </w:rPr>
      </w:pPr>
      <w:r w:rsidRPr="004110E4">
        <w:rPr>
          <w:b/>
        </w:rPr>
        <w:t>5. Contextual Nuance in the Passage</w:t>
      </w:r>
    </w:p>
    <w:p w14:paraId="66CBBE03" w14:textId="77777777" w:rsidR="004110E4" w:rsidRDefault="004110E4">
      <w:r>
        <w:t>In Exodus 40:8, Moses receives instructions to "hang up the screen at the court gate." This act completed the outer boundary of the Tabernacle, fully enclosing the sacred space. According to Exodus 38:18, this specific screen was highly ornate, woven from blue, purple, and scarlet thread, and fine twined linen, adorned with exquisite embroidery. This colorful entryway stood in striking contrast to the plain white linen hangings that made up the rest of the courtyard perimeter. The screen at the gate was highly visible, acting as a magnificent beacon. Anyone approaching the Tabernacle would immediately see this colorful gate as the singular, divinely ordained entrance into the courtyard where the altar of burnt offering stood.</w:t>
      </w:r>
    </w:p>
    <w:p w14:paraId="50E38893" w14:textId="77777777" w:rsidR="004110E4" w:rsidRDefault="004110E4"/>
    <w:p w14:paraId="361B38A5" w14:textId="77777777" w:rsidR="004110E4" w:rsidRPr="004110E4" w:rsidRDefault="004110E4">
      <w:pPr>
        <w:rPr>
          <w:b/>
        </w:rPr>
      </w:pPr>
      <w:r w:rsidRPr="004110E4">
        <w:rPr>
          <w:b/>
        </w:rPr>
        <w:t>6. Key Uses in Other Verses (NKJV)</w:t>
      </w:r>
    </w:p>
    <w:p w14:paraId="6734CB02" w14:textId="77777777" w:rsidR="004110E4" w:rsidRDefault="004110E4">
      <w:r>
        <w:t>• Exodus 26:36: "You shall make a screen for the door of the tabernacle, woven of blue, purple, and scarlet thread, and fine woven linen, made by an embroiderer."</w:t>
      </w:r>
    </w:p>
    <w:p w14:paraId="539F5542" w14:textId="77777777" w:rsidR="004110E4" w:rsidRDefault="004110E4">
      <w:r>
        <w:t>• Exodus 35:15: "the incense altar, its poles, the anointing oil, the sweet incense, and the screen for the door at the entrance of the tabernacle;"</w:t>
      </w:r>
    </w:p>
    <w:p w14:paraId="063536AA" w14:textId="77777777" w:rsidR="004110E4" w:rsidRDefault="004110E4">
      <w:r>
        <w:t>• Exodus 39:40: "the hangings of the court, its pillars and its sockets, the screen for the court gate, its cords, and its pegs..."</w:t>
      </w:r>
    </w:p>
    <w:p w14:paraId="345D160F" w14:textId="77777777" w:rsidR="004110E4" w:rsidRDefault="004110E4">
      <w:r>
        <w:t>• Numbers 3:25: "The duties of the children of Gershon in the tabernacle of meeting included the tabernacle, the tent with its covering, the screen for the door of the tabernacle of meeting,"</w:t>
      </w:r>
    </w:p>
    <w:p w14:paraId="6CF78B0E" w14:textId="77777777" w:rsidR="004110E4" w:rsidRDefault="004110E4">
      <w:r>
        <w:t>• Numbers 4:26: "the hangings of the court, the screen for the door of the gate of the court..."</w:t>
      </w:r>
    </w:p>
    <w:p w14:paraId="2DC7545D" w14:textId="77777777" w:rsidR="004110E4" w:rsidRDefault="004110E4"/>
    <w:p w14:paraId="44969F9B" w14:textId="77777777" w:rsidR="004110E4" w:rsidRPr="004110E4" w:rsidRDefault="004110E4">
      <w:pPr>
        <w:rPr>
          <w:b/>
        </w:rPr>
      </w:pPr>
      <w:r w:rsidRPr="004110E4">
        <w:rPr>
          <w:b/>
        </w:rPr>
        <w:t>7. Other Relevant Insights</w:t>
      </w:r>
    </w:p>
    <w:p w14:paraId="0DFE58EA" w14:textId="77777777" w:rsidR="004110E4" w:rsidRDefault="004110E4">
      <w:r>
        <w:t>The protective quality of the root sakak appears poetically in other contexts to describe God's personal protection over His people. In Psalm 105:39, a related noun form is used to describe the supernatural cloud that accompanied Israel: "He spread a cloud for a covering." Just as the Tabernacle masak screened the holy things of God from the outside world, God's cloud of glory served as a protective screen over His people in the wilderness, shielding them from the scorching desert sun and guarding them from pursuing enemies.</w:t>
      </w:r>
    </w:p>
    <w:p w14:paraId="009E174E" w14:textId="77777777" w:rsidR="004110E4" w:rsidRDefault="004110E4"/>
    <w:p w14:paraId="6F16F4C0" w14:textId="77777777" w:rsidR="004110E4" w:rsidRPr="004110E4" w:rsidRDefault="004110E4">
      <w:pPr>
        <w:rPr>
          <w:b/>
        </w:rPr>
      </w:pPr>
      <w:r w:rsidRPr="004110E4">
        <w:rPr>
          <w:b/>
        </w:rPr>
        <w:t>8. References</w:t>
      </w:r>
    </w:p>
    <w:p w14:paraId="5F7E58BC" w14:textId="77777777" w:rsidR="004110E4" w:rsidRDefault="004110E4">
      <w:r>
        <w:t>- Brown, Driver, Briggs. Hebrew and English Lexicon of the Old Testament.</w:t>
      </w:r>
    </w:p>
    <w:p w14:paraId="7AA363E4" w14:textId="77777777" w:rsidR="004110E4" w:rsidRDefault="004110E4">
      <w:r>
        <w:t>- Harris, Archer, Waltke. Theological Wordbook of the Old Testament.</w:t>
      </w:r>
    </w:p>
    <w:p w14:paraId="209A2C0A" w14:textId="77777777" w:rsidR="004110E4" w:rsidRDefault="004110E4">
      <w:r>
        <w:t>- Koehler, Baumgartner, Stamm. Hebrew and Aramaic Lexicon of the Old Testament.</w:t>
      </w:r>
    </w:p>
    <w:p w14:paraId="4F1C9FC0" w14:textId="77777777" w:rsidR="004110E4" w:rsidRDefault="004110E4">
      <w:r>
        <w:t>- Vine's Expository Dictionary of Old and New Testament Words.</w:t>
      </w:r>
    </w:p>
    <w:p w14:paraId="414B50CF" w14:textId="18296B49" w:rsidR="004C5552" w:rsidRDefault="004110E4">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10E4"/>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BC91"/>
  <w15:chartTrackingRefBased/>
  <w15:docId w15:val="{42F35A4C-8EB4-4900-BB0E-4CE58399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E4"/>
    <w:rPr>
      <w:rFonts w:eastAsiaTheme="majorEastAsia" w:cstheme="majorBidi"/>
      <w:color w:val="272727" w:themeColor="text1" w:themeTint="D8"/>
    </w:rPr>
  </w:style>
  <w:style w:type="paragraph" w:styleId="Title">
    <w:name w:val="Title"/>
    <w:basedOn w:val="Normal"/>
    <w:next w:val="Normal"/>
    <w:link w:val="TitleChar"/>
    <w:uiPriority w:val="10"/>
    <w:qFormat/>
    <w:rsid w:val="0041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E4"/>
    <w:pPr>
      <w:spacing w:before="160"/>
      <w:jc w:val="center"/>
    </w:pPr>
    <w:rPr>
      <w:i/>
      <w:iCs/>
      <w:color w:val="404040" w:themeColor="text1" w:themeTint="BF"/>
    </w:rPr>
  </w:style>
  <w:style w:type="character" w:customStyle="1" w:styleId="QuoteChar">
    <w:name w:val="Quote Char"/>
    <w:basedOn w:val="DefaultParagraphFont"/>
    <w:link w:val="Quote"/>
    <w:uiPriority w:val="29"/>
    <w:rsid w:val="004110E4"/>
    <w:rPr>
      <w:i/>
      <w:iCs/>
      <w:color w:val="404040" w:themeColor="text1" w:themeTint="BF"/>
    </w:rPr>
  </w:style>
  <w:style w:type="paragraph" w:styleId="ListParagraph">
    <w:name w:val="List Paragraph"/>
    <w:basedOn w:val="Normal"/>
    <w:uiPriority w:val="34"/>
    <w:qFormat/>
    <w:rsid w:val="004110E4"/>
    <w:pPr>
      <w:ind w:left="720"/>
      <w:contextualSpacing/>
    </w:pPr>
  </w:style>
  <w:style w:type="character" w:styleId="IntenseEmphasis">
    <w:name w:val="Intense Emphasis"/>
    <w:basedOn w:val="DefaultParagraphFont"/>
    <w:uiPriority w:val="21"/>
    <w:qFormat/>
    <w:rsid w:val="004110E4"/>
    <w:rPr>
      <w:i/>
      <w:iCs/>
      <w:color w:val="2E74B5" w:themeColor="accent1" w:themeShade="BF"/>
    </w:rPr>
  </w:style>
  <w:style w:type="paragraph" w:styleId="IntenseQuote">
    <w:name w:val="Intense Quote"/>
    <w:basedOn w:val="Normal"/>
    <w:next w:val="Normal"/>
    <w:link w:val="IntenseQuoteChar"/>
    <w:uiPriority w:val="30"/>
    <w:qFormat/>
    <w:rsid w:val="004110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10E4"/>
    <w:rPr>
      <w:i/>
      <w:iCs/>
      <w:color w:val="2E74B5" w:themeColor="accent1" w:themeShade="BF"/>
    </w:rPr>
  </w:style>
  <w:style w:type="character" w:styleId="IntenseReference">
    <w:name w:val="Intense Reference"/>
    <w:basedOn w:val="DefaultParagraphFont"/>
    <w:uiPriority w:val="32"/>
    <w:qFormat/>
    <w:rsid w:val="004110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5107</Characters>
  <Application>Microsoft Office Word</Application>
  <DocSecurity>0</DocSecurity>
  <Lines>42</Lines>
  <Paragraphs>11</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