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D9FD" w14:textId="77777777" w:rsidR="00E912A2" w:rsidRPr="00E912A2" w:rsidRDefault="00E912A2">
      <w:pPr>
        <w:rPr>
          <w:b/>
        </w:rPr>
      </w:pPr>
      <w:r w:rsidRPr="00E912A2">
        <w:rPr>
          <w:b/>
        </w:rPr>
        <w:t>BIRTHSTOOLS - ( oben , Strong's H70 )</w:t>
      </w:r>
    </w:p>
    <w:p w14:paraId="30AC41AA" w14:textId="77777777" w:rsidR="00E912A2" w:rsidRDefault="00E912A2">
      <w:r w:rsidRPr="00E912A2">
        <w:rPr>
          <w:b/>
        </w:rPr>
        <w:t>Summary:</w:t>
      </w:r>
    </w:p>
    <w:p w14:paraId="6295D547" w14:textId="77777777" w:rsidR="00E912A2" w:rsidRDefault="00E912A2">
      <w:r>
        <w:t>The Hebrew word oben (occurring in the dual form obnayim) literally means "two stones" or "a double wheel." In the ancient Near East, it served two primary, seemingly disparate functions: a potter's wheel used to mold clay into vessels, and a birthing seat or birthstool used to support a woman in labor. In Exodus 1:16, Pharaoh commands the Hebrew midwives to observe these birthing stones and execute any male infants at the very moment of delivery. This term highlights the fragile boundary between life and death, creation and destruction, as God's people are molded in the crucible of Egyptian affliction.</w:t>
      </w:r>
    </w:p>
    <w:p w14:paraId="62AD412A" w14:textId="77777777" w:rsidR="00E912A2" w:rsidRDefault="00E912A2"/>
    <w:p w14:paraId="2E0042CB" w14:textId="77777777" w:rsidR="00E912A2" w:rsidRDefault="00E912A2">
      <w:r w:rsidRPr="00E912A2">
        <w:rPr>
          <w:b/>
        </w:rPr>
        <w:t>Full Study:</w:t>
      </w:r>
    </w:p>
    <w:p w14:paraId="71D95CBE" w14:textId="77777777" w:rsidR="00E912A2" w:rsidRDefault="00E912A2"/>
    <w:p w14:paraId="1D7BC43E" w14:textId="77777777" w:rsidR="00E912A2" w:rsidRPr="00E912A2" w:rsidRDefault="00E912A2">
      <w:pPr>
        <w:rPr>
          <w:b/>
        </w:rPr>
      </w:pPr>
      <w:r w:rsidRPr="00E912A2">
        <w:rPr>
          <w:b/>
        </w:rPr>
        <w:t>1. Word Picture / Background</w:t>
      </w:r>
    </w:p>
    <w:p w14:paraId="09654DAE" w14:textId="77777777" w:rsidR="00E912A2" w:rsidRDefault="00E912A2">
      <w:r>
        <w:t>• The root of oben is related to the Hebrew word for stone (eben). In the dual form obnayim, it literally denotes "two stones" or "a pair of stones."</w:t>
      </w:r>
    </w:p>
    <w:p w14:paraId="4F1C9300" w14:textId="77777777" w:rsidR="00E912A2" w:rsidRDefault="00E912A2">
      <w:r>
        <w:t>• In ancient times, midwives assisted laboring women who sat or squatted on two stones or bricks placed side-by-side to support the pelvis while leaving space between them for the delivery of the baby.</w:t>
      </w:r>
    </w:p>
    <w:p w14:paraId="5B6EFC52" w14:textId="77777777" w:rsidR="00E912A2" w:rsidRDefault="00E912A2">
      <w:r>
        <w:t>• Alternatively, the term refers to a circular, double-stoned wheel system used by potters. The physical similarity between the potter's circular stones and the birthstool's supportive structure led to the shared use of this term.</w:t>
      </w:r>
    </w:p>
    <w:p w14:paraId="6FD320B0" w14:textId="77777777" w:rsidR="00E912A2" w:rsidRDefault="00E912A2">
      <w:r>
        <w:t>• This dual imagery creates a powerful connection between the fashioning of clay by a potter and the formation of a child in the womb, both representing acts of design and creation.</w:t>
      </w:r>
    </w:p>
    <w:p w14:paraId="5A43CB00" w14:textId="77777777" w:rsidR="00E912A2" w:rsidRDefault="00E912A2"/>
    <w:p w14:paraId="37BCE690" w14:textId="77777777" w:rsidR="00E912A2" w:rsidRPr="00E912A2" w:rsidRDefault="00E912A2">
      <w:pPr>
        <w:rPr>
          <w:b/>
        </w:rPr>
      </w:pPr>
      <w:r w:rsidRPr="00E912A2">
        <w:rPr>
          <w:b/>
        </w:rPr>
        <w:t>2. Meaning / Lexical Definition</w:t>
      </w:r>
    </w:p>
    <w:p w14:paraId="7CB5E076" w14:textId="77777777" w:rsidR="00E912A2" w:rsidRDefault="00E912A2">
      <w:r>
        <w:t>• Oben (noun masculine) refers to a wheel, disk, or support.</w:t>
      </w:r>
    </w:p>
    <w:p w14:paraId="519BB70B" w14:textId="77777777" w:rsidR="00E912A2" w:rsidRDefault="00E912A2">
      <w:r>
        <w:t>• In the dual form (obnayim), it refers to:</w:t>
      </w:r>
    </w:p>
    <w:p w14:paraId="2C82A90F" w14:textId="77777777" w:rsidR="00E912A2" w:rsidRDefault="00E912A2">
      <w:r>
        <w:t>• A potter's wheel (a pair of horizontal stone disks rotated to shape pottery).</w:t>
      </w:r>
    </w:p>
    <w:p w14:paraId="2D66C0FA" w14:textId="77777777" w:rsidR="00E912A2" w:rsidRDefault="00E912A2">
      <w:r>
        <w:lastRenderedPageBreak/>
        <w:t>• A birthstool or birthing seat (consisting of two stones or a specialized frame upon which a laboring woman sat).</w:t>
      </w:r>
    </w:p>
    <w:p w14:paraId="3255DC20" w14:textId="77777777" w:rsidR="00E912A2" w:rsidRDefault="00E912A2">
      <w:r>
        <w:t>• The lexical sense in Exodus 1:16 is specifically the birthing stool used by Hebrew women during delivery.</w:t>
      </w:r>
    </w:p>
    <w:p w14:paraId="1893F9AB" w14:textId="77777777" w:rsidR="00E912A2" w:rsidRDefault="00E912A2"/>
    <w:p w14:paraId="7C708FB7" w14:textId="77777777" w:rsidR="00E912A2" w:rsidRPr="00E912A2" w:rsidRDefault="00E912A2">
      <w:pPr>
        <w:rPr>
          <w:b/>
        </w:rPr>
      </w:pPr>
      <w:r w:rsidRPr="00E912A2">
        <w:rPr>
          <w:b/>
        </w:rPr>
        <w:t>3. Usage and Word Pictures</w:t>
      </w:r>
    </w:p>
    <w:p w14:paraId="2E169FA3" w14:textId="77777777" w:rsidR="00E912A2" w:rsidRDefault="00E912A2">
      <w:r>
        <w:t>• The word occurs only twice in the entire Hebrew Bible: once in Exodus 1:16 referring to birthstools, and once in Jeremiah 18:3 referring to a potter's wheel.</w:t>
      </w:r>
    </w:p>
    <w:p w14:paraId="55DB741C" w14:textId="77777777" w:rsidR="00E912A2" w:rsidRDefault="00E912A2">
      <w:r>
        <w:t>• This scarcity of usage heightens the semantic connection between the two passages. The potter's wheel is where clay is shaped into a vessel; the birthstool is where a human life is brought forth into the world.</w:t>
      </w:r>
    </w:p>
    <w:p w14:paraId="757103CD" w14:textId="77777777" w:rsidR="00E912A2" w:rsidRDefault="00E912A2">
      <w:r>
        <w:t>• Both instruments represent a critical juncture of formation. On the potter's wheel, a vessel can be marred or perfected. On the birthstool, a child is either delivered into life or, under Pharaoh's decree, consigned to immediate death.</w:t>
      </w:r>
    </w:p>
    <w:p w14:paraId="56C14ED2" w14:textId="77777777" w:rsidR="00E912A2" w:rsidRDefault="00E912A2"/>
    <w:p w14:paraId="7595A4BE" w14:textId="77777777" w:rsidR="00E912A2" w:rsidRPr="00E912A2" w:rsidRDefault="00E912A2">
      <w:pPr>
        <w:rPr>
          <w:b/>
        </w:rPr>
      </w:pPr>
      <w:r w:rsidRPr="00E912A2">
        <w:rPr>
          <w:b/>
        </w:rPr>
        <w:t>4. Theological Implications</w:t>
      </w:r>
    </w:p>
    <w:p w14:paraId="16DF9101" w14:textId="77777777" w:rsidR="00E912A2" w:rsidRDefault="00E912A2">
      <w:r>
        <w:t>• The use of obnayim links human reproduction with divine craftsmanship. God is often depicted as the Potter and His people as the clay (Isaiah 64:8; Jeremiah 18:6). The birthstool is the physical space where God's creative work is unveiled.</w:t>
      </w:r>
    </w:p>
    <w:p w14:paraId="0B1F26B6" w14:textId="77777777" w:rsidR="00E912A2" w:rsidRDefault="00E912A2">
      <w:r>
        <w:t>• Pharaoh’s command to kill the male children on the obnayim is a direct attack on God's creative design and His covenant promise of multiplication to Abraham, Isaac, and Jacob.</w:t>
      </w:r>
    </w:p>
    <w:p w14:paraId="043BF1F0" w14:textId="77777777" w:rsidR="00E912A2" w:rsidRDefault="00E912A2">
      <w:r>
        <w:t>• By attempting to turn the place of birth (a place of life-giving creation) into a place of execution, Pharaoh sets himself up as an anti-creator, opposing Yahweh's life-giving power.</w:t>
      </w:r>
    </w:p>
    <w:p w14:paraId="1691D781" w14:textId="77777777" w:rsidR="00E912A2" w:rsidRDefault="00E912A2"/>
    <w:p w14:paraId="0520C729" w14:textId="77777777" w:rsidR="00E912A2" w:rsidRPr="00E912A2" w:rsidRDefault="00E912A2">
      <w:pPr>
        <w:rPr>
          <w:b/>
        </w:rPr>
      </w:pPr>
      <w:r w:rsidRPr="00E912A2">
        <w:rPr>
          <w:b/>
        </w:rPr>
        <w:t>5. Contextual Nuance in the Passage</w:t>
      </w:r>
    </w:p>
    <w:p w14:paraId="62268375" w14:textId="77777777" w:rsidR="00E912A2" w:rsidRDefault="00E912A2">
      <w:r>
        <w:t>• In Exodus 1:16, Pharaoh instructs the midwives: "when you do the office of a midwife to the Hebrew women, and see them upon the birthstools, if it is a son, then you shall kill him; but if it is a daughter, then she shall live."</w:t>
      </w:r>
    </w:p>
    <w:p w14:paraId="344E6DD2" w14:textId="77777777" w:rsidR="00E912A2" w:rsidRDefault="00E912A2">
      <w:r>
        <w:t xml:space="preserve">• The birthstool offered the midwives an immediate, unobstructed view of the infant's gender at the exact moment of birth. Pharaoh wanted the boys killed instantly, secretly, and </w:t>
      </w:r>
      <w:r>
        <w:lastRenderedPageBreak/>
        <w:t>silently, before the mother could even hold her child or the community could celebrate the birth.</w:t>
      </w:r>
    </w:p>
    <w:p w14:paraId="739887F4" w14:textId="77777777" w:rsidR="00E912A2" w:rsidRDefault="00E912A2">
      <w:r>
        <w:t>• The courage of the midwives, who feared God more than Pharaoh, turned this potential place of slaughter back into a place of life, preserving the Hebrew sons and securing the future of Israel.</w:t>
      </w:r>
    </w:p>
    <w:p w14:paraId="6B9D2603" w14:textId="77777777" w:rsidR="00E912A2" w:rsidRDefault="00E912A2"/>
    <w:p w14:paraId="48057408" w14:textId="77777777" w:rsidR="00E912A2" w:rsidRPr="00E912A2" w:rsidRDefault="00E912A2">
      <w:pPr>
        <w:rPr>
          <w:b/>
        </w:rPr>
      </w:pPr>
      <w:r w:rsidRPr="00E912A2">
        <w:rPr>
          <w:b/>
        </w:rPr>
        <w:t>6. Key Uses in Other Verses (NKJV)</w:t>
      </w:r>
    </w:p>
    <w:p w14:paraId="196B7551" w14:textId="77777777" w:rsidR="00E912A2" w:rsidRDefault="00E912A2">
      <w:r>
        <w:t>Because this word only occurs twice in the Hebrew Old Testament, the other occurrence uses the same Hebrew word obnayim but is translated differently based on context:</w:t>
      </w:r>
    </w:p>
    <w:p w14:paraId="3B25EEA8" w14:textId="77777777" w:rsidR="00E912A2" w:rsidRDefault="00E912A2">
      <w:r>
        <w:t>• Jeremiah 18:3 - "Then I went down to the potter’s house, and there he was, making something on the wheel."</w:t>
      </w:r>
    </w:p>
    <w:p w14:paraId="1F2416E9" w14:textId="77777777" w:rsidR="00E912A2" w:rsidRDefault="00E912A2"/>
    <w:p w14:paraId="13056DA8" w14:textId="77777777" w:rsidR="00E912A2" w:rsidRPr="00E912A2" w:rsidRDefault="00E912A2">
      <w:pPr>
        <w:rPr>
          <w:b/>
        </w:rPr>
      </w:pPr>
      <w:r w:rsidRPr="00E912A2">
        <w:rPr>
          <w:b/>
        </w:rPr>
        <w:t>7. Other Relevant Insights</w:t>
      </w:r>
    </w:p>
    <w:p w14:paraId="299DD909" w14:textId="77777777" w:rsidR="00E912A2" w:rsidRDefault="00E912A2">
      <w:r>
        <w:t>• Ancient Egyptian reliefs and texts confirm the widespread use of birthing bricks (known as meskhenet) or specialized chairs during childbirth. These bricks were often decorated with protective deities and inscriptions, reflecting the high spiritual significance of childbirth in the ancient world.</w:t>
      </w:r>
    </w:p>
    <w:p w14:paraId="375EF0A0" w14:textId="77777777" w:rsidR="00E912A2" w:rsidRDefault="00E912A2">
      <w:r>
        <w:t>• In Egyptian mythology, the god Khnum was believed to fashion human bodies on a potter's wheel before placing them in the womb. This cultural background further illuminates why the same word obnayim was used for both the potter's wheel and the birthstool. Pharaoh's attempt to control the birthstool was an attempt to claim sovereign authority over the very spark of life.</w:t>
      </w:r>
    </w:p>
    <w:p w14:paraId="10C6FF16" w14:textId="77777777" w:rsidR="00E912A2" w:rsidRDefault="00E912A2"/>
    <w:p w14:paraId="26D98C50" w14:textId="77777777" w:rsidR="00E912A2" w:rsidRPr="00E912A2" w:rsidRDefault="00E912A2">
      <w:pPr>
        <w:rPr>
          <w:b/>
        </w:rPr>
      </w:pPr>
      <w:r w:rsidRPr="00E912A2">
        <w:rPr>
          <w:b/>
        </w:rPr>
        <w:t>8. References</w:t>
      </w:r>
    </w:p>
    <w:p w14:paraId="2F69F00A" w14:textId="77777777" w:rsidR="00E912A2" w:rsidRDefault="00E912A2">
      <w:r>
        <w:t>• Brown, F., Driver, S. R., &amp; Briggs, C. A. (1907). Enhanced Brown-Driver-Briggs Hebrew and English Lexicon.</w:t>
      </w:r>
    </w:p>
    <w:p w14:paraId="3599983D" w14:textId="77777777" w:rsidR="00E912A2" w:rsidRDefault="00E912A2">
      <w:r>
        <w:t>• Koehler, L., Baumgartner, W., Richardson, M. E. J., &amp; Stamm, J. J. (1994-2000). The Hebrew and Aramaic Lexicon of the Old Testament.</w:t>
      </w:r>
    </w:p>
    <w:p w14:paraId="174F5E08" w14:textId="77777777" w:rsidR="00E912A2" w:rsidRDefault="00E912A2">
      <w:r>
        <w:t>• Harris, R. L., Archer, G. L., &amp; Waltke, B. K. (1980). Theological Wordbook of the Old Testament.</w:t>
      </w:r>
    </w:p>
    <w:p w14:paraId="318F02BE" w14:textId="77777777" w:rsidR="00E912A2" w:rsidRDefault="00E912A2">
      <w:r>
        <w:t>• Botterweck, G. J., &amp; Ringgren, H. (Eds.). Theological Dictionary of the Old Testament.</w:t>
      </w:r>
    </w:p>
    <w:p w14:paraId="76998E35" w14:textId="5668F063" w:rsidR="004C5552" w:rsidRDefault="00E912A2">
      <w:r>
        <w:lastRenderedPageBreak/>
        <w:t>• Vine, W. E. (1996).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2A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2A2"/>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DA148"/>
  <w15:chartTrackingRefBased/>
  <w15:docId w15:val="{699DE192-ABDD-4F3C-9260-F8DDFEE88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912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2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2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2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912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2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2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2A2"/>
    <w:rPr>
      <w:rFonts w:eastAsiaTheme="majorEastAsia" w:cstheme="majorBidi"/>
      <w:color w:val="272727" w:themeColor="text1" w:themeTint="D8"/>
    </w:rPr>
  </w:style>
  <w:style w:type="paragraph" w:styleId="Title">
    <w:name w:val="Title"/>
    <w:basedOn w:val="Normal"/>
    <w:next w:val="Normal"/>
    <w:link w:val="TitleChar"/>
    <w:uiPriority w:val="10"/>
    <w:qFormat/>
    <w:rsid w:val="00E91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2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2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2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2A2"/>
    <w:pPr>
      <w:spacing w:before="160"/>
      <w:jc w:val="center"/>
    </w:pPr>
    <w:rPr>
      <w:i/>
      <w:iCs/>
      <w:color w:val="404040" w:themeColor="text1" w:themeTint="BF"/>
    </w:rPr>
  </w:style>
  <w:style w:type="character" w:customStyle="1" w:styleId="QuoteChar">
    <w:name w:val="Quote Char"/>
    <w:basedOn w:val="DefaultParagraphFont"/>
    <w:link w:val="Quote"/>
    <w:uiPriority w:val="29"/>
    <w:rsid w:val="00E912A2"/>
    <w:rPr>
      <w:i/>
      <w:iCs/>
      <w:color w:val="404040" w:themeColor="text1" w:themeTint="BF"/>
    </w:rPr>
  </w:style>
  <w:style w:type="paragraph" w:styleId="ListParagraph">
    <w:name w:val="List Paragraph"/>
    <w:basedOn w:val="Normal"/>
    <w:uiPriority w:val="34"/>
    <w:qFormat/>
    <w:rsid w:val="00E912A2"/>
    <w:pPr>
      <w:ind w:left="720"/>
      <w:contextualSpacing/>
    </w:pPr>
  </w:style>
  <w:style w:type="character" w:styleId="IntenseEmphasis">
    <w:name w:val="Intense Emphasis"/>
    <w:basedOn w:val="DefaultParagraphFont"/>
    <w:uiPriority w:val="21"/>
    <w:qFormat/>
    <w:rsid w:val="00E912A2"/>
    <w:rPr>
      <w:i/>
      <w:iCs/>
      <w:color w:val="2E74B5" w:themeColor="accent1" w:themeShade="BF"/>
    </w:rPr>
  </w:style>
  <w:style w:type="paragraph" w:styleId="IntenseQuote">
    <w:name w:val="Intense Quote"/>
    <w:basedOn w:val="Normal"/>
    <w:next w:val="Normal"/>
    <w:link w:val="IntenseQuoteChar"/>
    <w:uiPriority w:val="30"/>
    <w:qFormat/>
    <w:rsid w:val="00E912A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912A2"/>
    <w:rPr>
      <w:i/>
      <w:iCs/>
      <w:color w:val="2E74B5" w:themeColor="accent1" w:themeShade="BF"/>
    </w:rPr>
  </w:style>
  <w:style w:type="character" w:styleId="IntenseReference">
    <w:name w:val="Intense Reference"/>
    <w:basedOn w:val="DefaultParagraphFont"/>
    <w:uiPriority w:val="32"/>
    <w:qFormat/>
    <w:rsid w:val="00E912A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817</Words>
  <Characters>4657</Characters>
  <Application>Microsoft Office Word</Application>
  <DocSecurity>0</DocSecurity>
  <Lines>38</Lines>
  <Paragraphs>10</Paragraphs>
  <ScaleCrop>false</ScaleCrop>
  <Company/>
  <LinksUpToDate>false</LinksUpToDate>
  <CharactersWithSpaces>5464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2026-08-14T09:33:00Z</dcterms:created>
  <dcterms:modified xsi:type="dcterms:W3CDTF">2026-08-14T09:33:00Z</dcterms:modified>
</cp:coreProperties>
</file>