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485A4" w14:textId="77777777" w:rsidR="00FE3012" w:rsidRPr="00FE3012" w:rsidRDefault="00FE3012">
      <w:pPr>
        <w:rPr>
          <w:b/>
        </w:rPr>
      </w:pPr>
      <w:r w:rsidRPr="00FE3012">
        <w:rPr>
          <w:b/>
        </w:rPr>
        <w:t>MIDST - ( tawvek , Strong's H8432 )</w:t>
      </w:r>
    </w:p>
    <w:p w14:paraId="0EBA06F1" w14:textId="77777777" w:rsidR="00FE3012" w:rsidRDefault="00FE3012">
      <w:r w:rsidRPr="00FE3012">
        <w:rPr>
          <w:b/>
        </w:rPr>
        <w:t>Summary:</w:t>
      </w:r>
    </w:p>
    <w:p w14:paraId="596A641D" w14:textId="77777777" w:rsidR="00FE3012" w:rsidRDefault="00FE3012">
      <w:r>
        <w:t>The Hebrew word tawvek fundamentally means the middle, center, or intervening space. In Exodus 11:4, as Moses announces the final plague to Pharaoh, tawvek points directly to the heart of the Egyptian night—the exact midnight hour when the Lord Himself will move through the center of Egypt. Far from a vague description, the word frequently emphasizes a focal point of intense spiritual activity, divine presence, or vulnerability.</w:t>
      </w:r>
    </w:p>
    <w:p w14:paraId="5BCF2F47" w14:textId="77777777" w:rsidR="00FE3012" w:rsidRDefault="00FE3012"/>
    <w:p w14:paraId="0B8089B1" w14:textId="77777777" w:rsidR="00FE3012" w:rsidRDefault="00FE3012">
      <w:r w:rsidRPr="00FE3012">
        <w:rPr>
          <w:b/>
        </w:rPr>
        <w:t>Full Study:</w:t>
      </w:r>
    </w:p>
    <w:p w14:paraId="6EAECCF0" w14:textId="77777777" w:rsidR="00FE3012" w:rsidRDefault="00FE3012"/>
    <w:p w14:paraId="6826C66A" w14:textId="77777777" w:rsidR="00FE3012" w:rsidRPr="00FE3012" w:rsidRDefault="00FE3012">
      <w:pPr>
        <w:rPr>
          <w:b/>
        </w:rPr>
      </w:pPr>
      <w:r w:rsidRPr="00FE3012">
        <w:rPr>
          <w:b/>
        </w:rPr>
        <w:t>1. Word Picture / Background</w:t>
      </w:r>
    </w:p>
    <w:p w14:paraId="5D89F688" w14:textId="77777777" w:rsidR="00FE3012" w:rsidRDefault="00FE3012">
      <w:r>
        <w:t>• Derived from an unused root meaning to sever, divide, or split, tawvek originally denotes the point of division where something is halved or partitioned.</w:t>
      </w:r>
    </w:p>
    <w:p w14:paraId="298E0538" w14:textId="77777777" w:rsidR="00FE3012" w:rsidRDefault="00FE3012">
      <w:r>
        <w:t>• Over time, the physical imagery shifted from a dividing cut to the central space created by that division—the innermost middle or core.</w:t>
      </w:r>
    </w:p>
    <w:p w14:paraId="4D71B869" w14:textId="77777777" w:rsidR="00FE3012" w:rsidRDefault="00FE3012"/>
    <w:p w14:paraId="3EE541EF" w14:textId="77777777" w:rsidR="00FE3012" w:rsidRPr="00FE3012" w:rsidRDefault="00FE3012">
      <w:pPr>
        <w:rPr>
          <w:b/>
        </w:rPr>
      </w:pPr>
      <w:r w:rsidRPr="00FE3012">
        <w:rPr>
          <w:b/>
        </w:rPr>
        <w:t>2. Meaning / Lexical Definition</w:t>
      </w:r>
    </w:p>
    <w:p w14:paraId="55CE04C9" w14:textId="77777777" w:rsidR="00FE3012" w:rsidRDefault="00FE3012">
      <w:r>
        <w:t>• Refers to the middle, center, midst, or intervening space between boundaries or groups.</w:t>
      </w:r>
    </w:p>
    <w:p w14:paraId="4DD08B49" w14:textId="77777777" w:rsidR="00FE3012" w:rsidRDefault="00FE3012">
      <w:r>
        <w:t>• Frequently translated as "in the midst of," "among," or "internally."</w:t>
      </w:r>
    </w:p>
    <w:p w14:paraId="110EAE13" w14:textId="77777777" w:rsidR="00FE3012" w:rsidRDefault="00FE3012">
      <w:r>
        <w:t>• Used spatially to describe the center of an area, temporally to mark the middle of a time span, and relationally to describe someone standing in the thick of a company of people.</w:t>
      </w:r>
    </w:p>
    <w:p w14:paraId="4D1562EF" w14:textId="77777777" w:rsidR="00FE3012" w:rsidRDefault="00FE3012"/>
    <w:p w14:paraId="228A3B8D" w14:textId="77777777" w:rsidR="00FE3012" w:rsidRPr="00FE3012" w:rsidRDefault="00FE3012">
      <w:pPr>
        <w:rPr>
          <w:b/>
        </w:rPr>
      </w:pPr>
      <w:r w:rsidRPr="00FE3012">
        <w:rPr>
          <w:b/>
        </w:rPr>
        <w:t>3. Usage and Word Pictures</w:t>
      </w:r>
    </w:p>
    <w:p w14:paraId="7597008E" w14:textId="77777777" w:rsidR="00FE3012" w:rsidRDefault="00FE3012">
      <w:r>
        <w:t>• In spatial contexts, it places a subject securely or dangerously surrounded, such as a tree in the middle of a garden or enemies enclosing a person.</w:t>
      </w:r>
    </w:p>
    <w:p w14:paraId="58FD617B" w14:textId="77777777" w:rsidR="00FE3012" w:rsidRDefault="00FE3012">
      <w:r>
        <w:t>• In temporal settings, it marks a critical juncture, such as the middle of the night or the heat of the day.</w:t>
      </w:r>
    </w:p>
    <w:p w14:paraId="69435145" w14:textId="77777777" w:rsidR="00FE3012" w:rsidRDefault="00FE3012"/>
    <w:p w14:paraId="30CA40C0" w14:textId="77777777" w:rsidR="00FE3012" w:rsidRPr="00FE3012" w:rsidRDefault="00FE3012">
      <w:pPr>
        <w:rPr>
          <w:b/>
        </w:rPr>
      </w:pPr>
      <w:r w:rsidRPr="00FE3012">
        <w:rPr>
          <w:b/>
        </w:rPr>
        <w:t>4. Theological Implications</w:t>
      </w:r>
    </w:p>
    <w:p w14:paraId="48F33997" w14:textId="77777777" w:rsidR="00FE3012" w:rsidRDefault="00FE3012">
      <w:r>
        <w:t>• When applied to divine action, tawvek often highlights the direct, inescapable presence of God operating right where human life is lived—whether in judgment or in fellowship.</w:t>
      </w:r>
    </w:p>
    <w:p w14:paraId="0B8319C0" w14:textId="77777777" w:rsidR="00FE3012" w:rsidRDefault="00FE3012">
      <w:r>
        <w:t>• It marks the space where the holy intersects with the ordinary, demanding absolute attention and reverence.</w:t>
      </w:r>
    </w:p>
    <w:p w14:paraId="1C718DE2" w14:textId="77777777" w:rsidR="00FE3012" w:rsidRDefault="00FE3012"/>
    <w:p w14:paraId="41A0A3C4" w14:textId="77777777" w:rsidR="00FE3012" w:rsidRPr="00FE3012" w:rsidRDefault="00FE3012">
      <w:pPr>
        <w:rPr>
          <w:b/>
        </w:rPr>
      </w:pPr>
      <w:r w:rsidRPr="00FE3012">
        <w:rPr>
          <w:b/>
        </w:rPr>
        <w:t>5. Contextual Nuance in the Passage</w:t>
      </w:r>
    </w:p>
    <w:p w14:paraId="79DF2CD6" w14:textId="77777777" w:rsidR="00FE3012" w:rsidRDefault="00FE3012">
      <w:r>
        <w:t>• In Exodus 11:4, Moses tells Pharaoh, "Thus says the Lord: 'About midnight I will go out into the midst of Egypt.'"</w:t>
      </w:r>
    </w:p>
    <w:p w14:paraId="73EC6DCA" w14:textId="77777777" w:rsidR="00FE3012" w:rsidRDefault="00FE3012">
      <w:r>
        <w:t>• Here, tawvek emphasizes that the divine visitation will penetrate the absolute core of the nation. It is not an outer fringe event or a distant phenomenon; the Lord Himself is piercing straight into the heart and homes of Egypt to execute ultimate justice.</w:t>
      </w:r>
    </w:p>
    <w:p w14:paraId="48008B96" w14:textId="77777777" w:rsidR="00FE3012" w:rsidRDefault="00FE3012"/>
    <w:p w14:paraId="5ABDC6AD" w14:textId="77777777" w:rsidR="00FE3012" w:rsidRPr="00FE3012" w:rsidRDefault="00FE3012">
      <w:pPr>
        <w:rPr>
          <w:b/>
        </w:rPr>
      </w:pPr>
      <w:r w:rsidRPr="00FE3012">
        <w:rPr>
          <w:b/>
        </w:rPr>
        <w:t>6. Key Uses in Other Verses (NKJV)</w:t>
      </w:r>
    </w:p>
    <w:p w14:paraId="2F0FC987" w14:textId="77777777" w:rsidR="00FE3012" w:rsidRDefault="00FE3012">
      <w:r>
        <w:t>• Exodus 3:2 - And the Angel of the Lord appeared to him in a flame of fire from the midst of a bush.</w:t>
      </w:r>
    </w:p>
    <w:p w14:paraId="70370D4E" w14:textId="77777777" w:rsidR="00FE3012" w:rsidRDefault="00FE3012">
      <w:r>
        <w:t>• Joshua 3:17 - Then the priests who bore the ark of the covenant of the Lord stood firm on dry ground in the midst of the Jordan.</w:t>
      </w:r>
    </w:p>
    <w:p w14:paraId="76B20D4B" w14:textId="77777777" w:rsidR="00FE3012" w:rsidRDefault="00FE3012">
      <w:r>
        <w:t>• Psalm 23:4 - Yea, though I walk through the valley of the shadow of death, I will fear no evil; for You are with me; Your rod and Your staff, they comfort me... [Note: while tawvek does not appear in Psalm 23:4, the conceptual parallel of God's presence in the core of danger echoes the theological use of tawvek elsewhere, such as Psalm 46:5].</w:t>
      </w:r>
    </w:p>
    <w:p w14:paraId="64344D63" w14:textId="77777777" w:rsidR="00FE3012" w:rsidRDefault="00FE3012">
      <w:r>
        <w:t>• Daniel 3:25 - "Look!" he answered, "I see four men loose, walking in the midst of the fire; and they are not hurt!"</w:t>
      </w:r>
    </w:p>
    <w:p w14:paraId="509030CE" w14:textId="77777777" w:rsidR="00FE3012" w:rsidRDefault="00FE3012"/>
    <w:p w14:paraId="7C0CA5DF" w14:textId="77777777" w:rsidR="00FE3012" w:rsidRPr="00FE3012" w:rsidRDefault="00FE3012">
      <w:pPr>
        <w:rPr>
          <w:b/>
        </w:rPr>
      </w:pPr>
      <w:r w:rsidRPr="00FE3012">
        <w:rPr>
          <w:b/>
        </w:rPr>
        <w:t>7. Other Relevant Insights</w:t>
      </w:r>
    </w:p>
    <w:p w14:paraId="445A1386" w14:textId="77777777" w:rsidR="00FE3012" w:rsidRDefault="00FE3012">
      <w:r>
        <w:t>• The word provides a powerful pastoral reminder that God is never merely an observer at the edges of our circumstances; He is active right in the tawvek of our trials, transitions, and judgments.</w:t>
      </w:r>
    </w:p>
    <w:p w14:paraId="25C1F5F4" w14:textId="77777777" w:rsidR="00FE3012" w:rsidRDefault="00FE3012">
      <w:r>
        <w:t>• In worship and covenant, God places His tabernacle or dwelling place tawvek (in the midst) of His people, symbolizing intimacy and sovereign protection.</w:t>
      </w:r>
    </w:p>
    <w:p w14:paraId="707567D5" w14:textId="77777777" w:rsidR="00FE3012" w:rsidRDefault="00FE3012"/>
    <w:p w14:paraId="75535D89" w14:textId="77777777" w:rsidR="00FE3012" w:rsidRPr="00FE3012" w:rsidRDefault="00FE3012">
      <w:pPr>
        <w:rPr>
          <w:b/>
        </w:rPr>
      </w:pPr>
      <w:r w:rsidRPr="00FE3012">
        <w:rPr>
          <w:b/>
        </w:rPr>
        <w:t>8. References</w:t>
      </w:r>
    </w:p>
    <w:p w14:paraId="79E0FC4E" w14:textId="77777777" w:rsidR="00FE3012" w:rsidRDefault="00FE3012">
      <w:r>
        <w:t>• Brown, Driver, Briggs, Hebrew and English Lexicon of the Old Testament</w:t>
      </w:r>
    </w:p>
    <w:p w14:paraId="6E6F5A7E" w14:textId="77777777" w:rsidR="00FE3012" w:rsidRDefault="00FE3012">
      <w:r>
        <w:t>• Koehler, Baumgartner, and Stamm, The Hebrew and Aramaic Lexicon of the Old Testament</w:t>
      </w:r>
    </w:p>
    <w:p w14:paraId="508D3453" w14:textId="77777777" w:rsidR="00FE3012" w:rsidRDefault="00FE3012">
      <w:r>
        <w:t>• New International Dictionary of Old Testament Theology and Exegesis, edited by Willem A. VanGemeren</w:t>
      </w:r>
    </w:p>
    <w:p w14:paraId="7CED8CCA" w14:textId="77777777" w:rsidR="00FE3012" w:rsidRDefault="00FE3012">
      <w:r>
        <w:t>• Theological Wordbook of the Old Testament, edited by R. Laird Harris, Gleason L. Archer Jr., and Bruce K. Waltke</w:t>
      </w:r>
    </w:p>
    <w:p w14:paraId="5F32424E" w14:textId="403F1A64" w:rsidR="004C5552" w:rsidRDefault="00FE3012">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0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 w:val="00FE3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77207"/>
  <w15:chartTrackingRefBased/>
  <w15:docId w15:val="{E28224AA-7201-4DF6-9222-E616194A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3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3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012"/>
    <w:rPr>
      <w:rFonts w:eastAsiaTheme="majorEastAsia" w:cstheme="majorBidi"/>
      <w:color w:val="272727" w:themeColor="text1" w:themeTint="D8"/>
    </w:rPr>
  </w:style>
  <w:style w:type="paragraph" w:styleId="Title">
    <w:name w:val="Title"/>
    <w:basedOn w:val="Normal"/>
    <w:next w:val="Normal"/>
    <w:link w:val="TitleChar"/>
    <w:uiPriority w:val="10"/>
    <w:qFormat/>
    <w:rsid w:val="00FE3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012"/>
    <w:pPr>
      <w:spacing w:before="160"/>
      <w:jc w:val="center"/>
    </w:pPr>
    <w:rPr>
      <w:i/>
      <w:iCs/>
      <w:color w:val="404040" w:themeColor="text1" w:themeTint="BF"/>
    </w:rPr>
  </w:style>
  <w:style w:type="character" w:customStyle="1" w:styleId="QuoteChar">
    <w:name w:val="Quote Char"/>
    <w:basedOn w:val="DefaultParagraphFont"/>
    <w:link w:val="Quote"/>
    <w:uiPriority w:val="29"/>
    <w:rsid w:val="00FE3012"/>
    <w:rPr>
      <w:i/>
      <w:iCs/>
      <w:color w:val="404040" w:themeColor="text1" w:themeTint="BF"/>
    </w:rPr>
  </w:style>
  <w:style w:type="paragraph" w:styleId="ListParagraph">
    <w:name w:val="List Paragraph"/>
    <w:basedOn w:val="Normal"/>
    <w:uiPriority w:val="34"/>
    <w:qFormat/>
    <w:rsid w:val="00FE3012"/>
    <w:pPr>
      <w:ind w:left="720"/>
      <w:contextualSpacing/>
    </w:pPr>
  </w:style>
  <w:style w:type="character" w:styleId="IntenseEmphasis">
    <w:name w:val="Intense Emphasis"/>
    <w:basedOn w:val="DefaultParagraphFont"/>
    <w:uiPriority w:val="21"/>
    <w:qFormat/>
    <w:rsid w:val="00FE3012"/>
    <w:rPr>
      <w:i/>
      <w:iCs/>
      <w:color w:val="2E74B5" w:themeColor="accent1" w:themeShade="BF"/>
    </w:rPr>
  </w:style>
  <w:style w:type="paragraph" w:styleId="IntenseQuote">
    <w:name w:val="Intense Quote"/>
    <w:basedOn w:val="Normal"/>
    <w:next w:val="Normal"/>
    <w:link w:val="IntenseQuoteChar"/>
    <w:uiPriority w:val="30"/>
    <w:qFormat/>
    <w:rsid w:val="00FE30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3012"/>
    <w:rPr>
      <w:i/>
      <w:iCs/>
      <w:color w:val="2E74B5" w:themeColor="accent1" w:themeShade="BF"/>
    </w:rPr>
  </w:style>
  <w:style w:type="character" w:styleId="IntenseReference">
    <w:name w:val="Intense Reference"/>
    <w:basedOn w:val="DefaultParagraphFont"/>
    <w:uiPriority w:val="32"/>
    <w:qFormat/>
    <w:rsid w:val="00FE30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563</Words>
  <Characters>3214</Characters>
  <Application>Microsoft Office Word</Application>
  <DocSecurity>0</DocSecurity>
  <Lines>26</Lines>
  <Paragraphs>7</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