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9340" w14:textId="77777777" w:rsidR="00CB031E" w:rsidRPr="00CB031E" w:rsidRDefault="00CB031E">
      <w:pPr>
        <w:rPr>
          <w:b/>
        </w:rPr>
      </w:pPr>
      <w:r w:rsidRPr="00CB031E">
        <w:rPr>
          <w:b/>
        </w:rPr>
        <w:t>MEMORIAL - ( zikkaron , Strong's H2146 )</w:t>
      </w:r>
    </w:p>
    <w:p w14:paraId="345FDF43" w14:textId="77777777" w:rsidR="00CB031E" w:rsidRDefault="00CB031E">
      <w:r w:rsidRPr="00CB031E">
        <w:rPr>
          <w:b/>
        </w:rPr>
        <w:t>Summary:</w:t>
      </w:r>
    </w:p>
    <w:p w14:paraId="08035DA4" w14:textId="77777777" w:rsidR="00CB031E" w:rsidRDefault="00CB031E">
      <w:r>
        <w:t>The Hebrew noun zikkaron refers to a memorial, remembrance, or reminder. In the Old Testament, a memorial is not a passive mental recollection of a past event, but an active, participatory, and tangible representation of God's historic acts. In Exodus 12:14, the Passover is designated as a perpetual zikkaron. This establishes a living link between historical redemption and present-day covenant faithfulness, ensuring that subsequent generations do not merely look back at the Exodus as history, but actively participate in the reality of God's saving grace.</w:t>
      </w:r>
    </w:p>
    <w:p w14:paraId="293CFD16" w14:textId="77777777" w:rsidR="00CB031E" w:rsidRDefault="00CB031E"/>
    <w:p w14:paraId="7FC0D838" w14:textId="77777777" w:rsidR="00CB031E" w:rsidRDefault="00CB031E">
      <w:r w:rsidRPr="00CB031E">
        <w:rPr>
          <w:b/>
        </w:rPr>
        <w:t>Full Study:</w:t>
      </w:r>
    </w:p>
    <w:p w14:paraId="764465B9" w14:textId="77777777" w:rsidR="00CB031E" w:rsidRDefault="00CB031E"/>
    <w:p w14:paraId="36AE11D4" w14:textId="77777777" w:rsidR="00CB031E" w:rsidRPr="00CB031E" w:rsidRDefault="00CB031E">
      <w:pPr>
        <w:rPr>
          <w:b/>
        </w:rPr>
      </w:pPr>
      <w:r w:rsidRPr="00CB031E">
        <w:rPr>
          <w:b/>
        </w:rPr>
        <w:t>1. Word Picture / Background</w:t>
      </w:r>
    </w:p>
    <w:p w14:paraId="4F45D7D1" w14:textId="77777777" w:rsidR="00CB031E" w:rsidRDefault="00CB031E">
      <w:r>
        <w:t xml:space="preserve">The noun zikkaron is derived from the verbal root zakar, which means to remember, recall, call to mind, or speak aloud. In the ancient Near Eastern and biblical world, remembering was closely tied to action. To remember was to act in accordance with a covenant, while to forget was to drift into disobedience. A zikkaron is the instrument, object, day, or event that triggers this active remembrance. It serves as a visual, auditory, or ritual signpost that brings the past into the present, demanding a response of gratitude, worship, and obedience. </w:t>
      </w:r>
    </w:p>
    <w:p w14:paraId="4122881D" w14:textId="77777777" w:rsidR="00CB031E" w:rsidRDefault="00CB031E"/>
    <w:p w14:paraId="18C3E11E" w14:textId="77777777" w:rsidR="00CB031E" w:rsidRPr="00CB031E" w:rsidRDefault="00CB031E">
      <w:pPr>
        <w:rPr>
          <w:b/>
        </w:rPr>
      </w:pPr>
      <w:r w:rsidRPr="00CB031E">
        <w:rPr>
          <w:b/>
        </w:rPr>
        <w:t>2. Meaning / Lexical Definition</w:t>
      </w:r>
    </w:p>
    <w:p w14:paraId="4FDE4C92" w14:textId="77777777" w:rsidR="00CB031E" w:rsidRDefault="00CB031E">
      <w:r>
        <w:t>• Zikkaron carries the definition of a memorial, remembrance, reminder, or commemorative token. It represents anything used to keep a person, truth, or event alive in the memory of a community or individuals. The term can refer to:</w:t>
      </w:r>
    </w:p>
    <w:p w14:paraId="11353FF2" w14:textId="77777777" w:rsidR="00CB031E" w:rsidRDefault="00CB031E">
      <w:r>
        <w:t>• A commemorative day or religious festival (such as the Passover or the Feast of Trumpets).</w:t>
      </w:r>
    </w:p>
    <w:p w14:paraId="147F18E4" w14:textId="77777777" w:rsidR="00CB031E" w:rsidRDefault="00CB031E">
      <w:r>
        <w:t>• Physical objects, such as memorial stones or the gold plates on the altar.</w:t>
      </w:r>
    </w:p>
    <w:p w14:paraId="450ADAB5" w14:textId="77777777" w:rsidR="00CB031E" w:rsidRDefault="00CB031E">
      <w:r>
        <w:t>• Written records or books of remembrance.</w:t>
      </w:r>
    </w:p>
    <w:p w14:paraId="43B4D34F" w14:textId="77777777" w:rsidR="00CB031E" w:rsidRDefault="00CB031E">
      <w:r>
        <w:t>• Inscribed stones worn on the garments of the High Priest to represent the tribes before God.</w:t>
      </w:r>
    </w:p>
    <w:p w14:paraId="319B6A95" w14:textId="77777777" w:rsidR="00CB031E" w:rsidRDefault="00CB031E"/>
    <w:p w14:paraId="2F78A959" w14:textId="77777777" w:rsidR="00CB031E" w:rsidRPr="00CB031E" w:rsidRDefault="00CB031E">
      <w:pPr>
        <w:rPr>
          <w:b/>
        </w:rPr>
      </w:pPr>
      <w:r w:rsidRPr="00CB031E">
        <w:rPr>
          <w:b/>
        </w:rPr>
        <w:t>3. Usage and Word Pictures</w:t>
      </w:r>
    </w:p>
    <w:p w14:paraId="081A0F16" w14:textId="77777777" w:rsidR="00CB031E" w:rsidRDefault="00CB031E">
      <w:r>
        <w:t>Throughout Scripture, zikkaron is associated with sensory and tangible experiences. It is not an abstract concept but a concrete reality. For instance, the stones set up after crossing the Jordan River (Joshua 4:7) were a physical zikkaron designed to prompt children to ask, "What do these stones mean?" Similarly, the two onyx stones on the shoulders of the High Priest’s ephod (Exodus 28:12) served as a zikkaron before the Lord, symbolically presenting the twelve tribes in His presence. The word picture is one of bridging the gap between heaven and earth, and between the past and the present, through a physical point of contact.</w:t>
      </w:r>
    </w:p>
    <w:p w14:paraId="18D00899" w14:textId="77777777" w:rsidR="00CB031E" w:rsidRDefault="00CB031E"/>
    <w:p w14:paraId="4C583CC6" w14:textId="77777777" w:rsidR="00CB031E" w:rsidRPr="00CB031E" w:rsidRDefault="00CB031E">
      <w:pPr>
        <w:rPr>
          <w:b/>
        </w:rPr>
      </w:pPr>
      <w:r w:rsidRPr="00CB031E">
        <w:rPr>
          <w:b/>
        </w:rPr>
        <w:t>4. Theological Implications</w:t>
      </w:r>
    </w:p>
    <w:p w14:paraId="4DC0F533" w14:textId="77777777" w:rsidR="00CB031E" w:rsidRDefault="00CB031E">
      <w:r>
        <w:t>Theologically, zikkaron highlights the relational nature of biblical memory. Memory in Scripture is dual-sided:</w:t>
      </w:r>
    </w:p>
    <w:p w14:paraId="472F3B81" w14:textId="77777777" w:rsidR="00CB031E" w:rsidRDefault="00CB031E">
      <w:r>
        <w:t>• Man remembering God: Israel is commanded to remember God's character, commandments, and past deliverances. This prevents apostasy and fosters trust.</w:t>
      </w:r>
    </w:p>
    <w:p w14:paraId="126FFFBC" w14:textId="77777777" w:rsidR="00CB031E" w:rsidRDefault="00CB031E">
      <w:r>
        <w:t>• God remembering Man: When God "remembers" His people or His covenant, it is an anthropomorphic way of saying He is about to intervene and act on their behalf (as when He remembered Noah in Genesis 8:1 or Rachel in Genesis 30:22).</w:t>
      </w:r>
    </w:p>
    <w:p w14:paraId="153302B9" w14:textId="77777777" w:rsidR="00CB031E" w:rsidRDefault="00CB031E">
      <w:r>
        <w:t>As a memorial, the Passover is the ultimate Old Testament expression of this covenant memory. By celebrating the memorial, Israel acknowledged God's past rescue, expected His future protection, and lived in the present reality of being His redeemed people. This concept lays the direct groundwork for the New Testament sacrament of the Lord's Supper, where Christ uses the Greek equivalent (anamnesis) to command, "Do this in remembrance of Me" (Luke 22:19).</w:t>
      </w:r>
    </w:p>
    <w:p w14:paraId="48A3685C" w14:textId="77777777" w:rsidR="00CB031E" w:rsidRDefault="00CB031E"/>
    <w:p w14:paraId="2E3E21AA" w14:textId="77777777" w:rsidR="00CB031E" w:rsidRPr="00CB031E" w:rsidRDefault="00CB031E">
      <w:pPr>
        <w:rPr>
          <w:b/>
        </w:rPr>
      </w:pPr>
      <w:r w:rsidRPr="00CB031E">
        <w:rPr>
          <w:b/>
        </w:rPr>
        <w:t>5. Contextual Nuance in the Passage</w:t>
      </w:r>
    </w:p>
    <w:p w14:paraId="4A47EFEF" w14:textId="77777777" w:rsidR="00CB031E" w:rsidRDefault="00CB031E">
      <w:r>
        <w:t>In Exodus 12:14, God establishes the Passover feast prior to the actual night of the Exodus. Before the deliverance even occurs, God commands that this day must be kept as a zikkaron throughout their generations. This timing emphasizes that redemption is so certain that its commemoration must be institutionalized immediately. The nuance in this passage is one of identity preservation. By celebrating the Passover annually, future generations of Israelites—who did not personally stand in Egypt—would enter into the narrative of redemption. The memorial feast made them active participants in the Exodus, transforming historical data into a personal, living faith.</w:t>
      </w:r>
    </w:p>
    <w:p w14:paraId="72CD0223" w14:textId="77777777" w:rsidR="00CB031E" w:rsidRDefault="00CB031E"/>
    <w:p w14:paraId="1DDD4A81" w14:textId="77777777" w:rsidR="00CB031E" w:rsidRPr="00CB031E" w:rsidRDefault="00CB031E">
      <w:pPr>
        <w:rPr>
          <w:b/>
        </w:rPr>
      </w:pPr>
      <w:r w:rsidRPr="00CB031E">
        <w:rPr>
          <w:b/>
        </w:rPr>
        <w:t>6. Key Uses in Other Verses (NKJV)</w:t>
      </w:r>
    </w:p>
    <w:p w14:paraId="426FD932" w14:textId="77777777" w:rsidR="00CB031E" w:rsidRDefault="00CB031E">
      <w:r>
        <w:t>• Exodus 13:9 - "It shall be as a sign to you on your hand and as a memorial between your eyes, that the LORD’s law may be in your mouth..."</w:t>
      </w:r>
    </w:p>
    <w:p w14:paraId="34B658AD" w14:textId="77777777" w:rsidR="00CB031E" w:rsidRDefault="00CB031E">
      <w:r>
        <w:t>• Exodus 28:12 - "And you shall put the two stones on the shoulders of the ephod as stones of memorial for the sons of Israel."</w:t>
      </w:r>
    </w:p>
    <w:p w14:paraId="628805D5" w14:textId="77777777" w:rsidR="00CB031E" w:rsidRDefault="00CB031E">
      <w:r>
        <w:t>• Joshua 4:7 - "...And these stones shall be for a memorial to the children of Israel forever."</w:t>
      </w:r>
    </w:p>
    <w:p w14:paraId="3F4041CC" w14:textId="77777777" w:rsidR="00CB031E" w:rsidRDefault="00CB031E">
      <w:r>
        <w:t>• Zechariah 6:14 - "Now the elaborate crown shall be for a memorial in the temple of the LORD..."</w:t>
      </w:r>
    </w:p>
    <w:p w14:paraId="02AE1672" w14:textId="77777777" w:rsidR="00CB031E" w:rsidRDefault="00CB031E"/>
    <w:p w14:paraId="6DA0735A" w14:textId="77777777" w:rsidR="00CB031E" w:rsidRPr="00CB031E" w:rsidRDefault="00CB031E">
      <w:pPr>
        <w:rPr>
          <w:b/>
        </w:rPr>
      </w:pPr>
      <w:r w:rsidRPr="00CB031E">
        <w:rPr>
          <w:b/>
        </w:rPr>
        <w:t>7. Other Relevant Insights</w:t>
      </w:r>
    </w:p>
    <w:p w14:paraId="6B99E679" w14:textId="77777777" w:rsidR="00CB031E" w:rsidRDefault="00CB031E">
      <w:r>
        <w:t>In the Greek translation of the Old Testament (the Septuagint), zikkaron is frequently translated using the noun mnemosynon or anamnesis. In the New Testament, these terms carry the same weight of active representation. For example, in Acts 10:4, the prayers and alms of the Gentile centurion Cornelius are said to have "come up for a memorial (mnemosynon) before God." This reflects the Hebrew concept where a physical, earthly action rises as a tangible reminder into the presence of God, prompting Him to act in grace.</w:t>
      </w:r>
    </w:p>
    <w:p w14:paraId="47A4D6FE" w14:textId="77777777" w:rsidR="00CB031E" w:rsidRDefault="00CB031E"/>
    <w:p w14:paraId="2596EAA7" w14:textId="77777777" w:rsidR="00CB031E" w:rsidRPr="00CB031E" w:rsidRDefault="00CB031E">
      <w:pPr>
        <w:rPr>
          <w:b/>
        </w:rPr>
      </w:pPr>
      <w:r w:rsidRPr="00CB031E">
        <w:rPr>
          <w:b/>
        </w:rPr>
        <w:t>8. References</w:t>
      </w:r>
    </w:p>
    <w:p w14:paraId="174EF5D9" w14:textId="77777777" w:rsidR="00CB031E" w:rsidRDefault="00CB031E">
      <w:r>
        <w:t>• Brown, Driver, Briggs Hebrew and English Lexicon</w:t>
      </w:r>
    </w:p>
    <w:p w14:paraId="139B7E8A" w14:textId="77777777" w:rsidR="00CB031E" w:rsidRDefault="00CB031E">
      <w:r>
        <w:t>• Theological Wordbook of the Old Testament</w:t>
      </w:r>
    </w:p>
    <w:p w14:paraId="1D844052" w14:textId="77777777" w:rsidR="00CB031E" w:rsidRDefault="00CB031E">
      <w:r>
        <w:t>• Theological Dictionary of the Old Testament</w:t>
      </w:r>
    </w:p>
    <w:p w14:paraId="39630FA5" w14:textId="77777777" w:rsidR="00CB031E" w:rsidRDefault="00CB031E">
      <w:r>
        <w:t>• Hebrew and Aramaic Lexicon of the Old Testament</w:t>
      </w:r>
    </w:p>
    <w:p w14:paraId="4E44F1A7" w14:textId="285C0D73" w:rsidR="004C5552" w:rsidRDefault="00CB031E">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31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031E"/>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409A"/>
  <w15:chartTrackingRefBased/>
  <w15:docId w15:val="{7AC14783-16F4-45E6-8ED0-1BF1962A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0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0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31E"/>
    <w:rPr>
      <w:rFonts w:eastAsiaTheme="majorEastAsia" w:cstheme="majorBidi"/>
      <w:color w:val="272727" w:themeColor="text1" w:themeTint="D8"/>
    </w:rPr>
  </w:style>
  <w:style w:type="paragraph" w:styleId="Title">
    <w:name w:val="Title"/>
    <w:basedOn w:val="Normal"/>
    <w:next w:val="Normal"/>
    <w:link w:val="TitleChar"/>
    <w:uiPriority w:val="10"/>
    <w:qFormat/>
    <w:rsid w:val="00CB0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31E"/>
    <w:pPr>
      <w:spacing w:before="160"/>
      <w:jc w:val="center"/>
    </w:pPr>
    <w:rPr>
      <w:i/>
      <w:iCs/>
      <w:color w:val="404040" w:themeColor="text1" w:themeTint="BF"/>
    </w:rPr>
  </w:style>
  <w:style w:type="character" w:customStyle="1" w:styleId="QuoteChar">
    <w:name w:val="Quote Char"/>
    <w:basedOn w:val="DefaultParagraphFont"/>
    <w:link w:val="Quote"/>
    <w:uiPriority w:val="29"/>
    <w:rsid w:val="00CB031E"/>
    <w:rPr>
      <w:i/>
      <w:iCs/>
      <w:color w:val="404040" w:themeColor="text1" w:themeTint="BF"/>
    </w:rPr>
  </w:style>
  <w:style w:type="paragraph" w:styleId="ListParagraph">
    <w:name w:val="List Paragraph"/>
    <w:basedOn w:val="Normal"/>
    <w:uiPriority w:val="34"/>
    <w:qFormat/>
    <w:rsid w:val="00CB031E"/>
    <w:pPr>
      <w:ind w:left="720"/>
      <w:contextualSpacing/>
    </w:pPr>
  </w:style>
  <w:style w:type="character" w:styleId="IntenseEmphasis">
    <w:name w:val="Intense Emphasis"/>
    <w:basedOn w:val="DefaultParagraphFont"/>
    <w:uiPriority w:val="21"/>
    <w:qFormat/>
    <w:rsid w:val="00CB031E"/>
    <w:rPr>
      <w:i/>
      <w:iCs/>
      <w:color w:val="2E74B5" w:themeColor="accent1" w:themeShade="BF"/>
    </w:rPr>
  </w:style>
  <w:style w:type="paragraph" w:styleId="IntenseQuote">
    <w:name w:val="Intense Quote"/>
    <w:basedOn w:val="Normal"/>
    <w:next w:val="Normal"/>
    <w:link w:val="IntenseQuoteChar"/>
    <w:uiPriority w:val="30"/>
    <w:qFormat/>
    <w:rsid w:val="00CB03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031E"/>
    <w:rPr>
      <w:i/>
      <w:iCs/>
      <w:color w:val="2E74B5" w:themeColor="accent1" w:themeShade="BF"/>
    </w:rPr>
  </w:style>
  <w:style w:type="character" w:styleId="IntenseReference">
    <w:name w:val="Intense Reference"/>
    <w:basedOn w:val="DefaultParagraphFont"/>
    <w:uiPriority w:val="32"/>
    <w:qFormat/>
    <w:rsid w:val="00CB03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