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2988" w14:textId="77777777" w:rsidR="00BC6AF7" w:rsidRPr="00BC6AF7" w:rsidRDefault="00BC6AF7">
      <w:pPr>
        <w:rPr>
          <w:b/>
        </w:rPr>
      </w:pPr>
      <w:r w:rsidRPr="00BC6AF7">
        <w:rPr>
          <w:b/>
        </w:rPr>
        <w:t>CONVOCATION - (miqrā’, Strong's H4744)</w:t>
      </w:r>
    </w:p>
    <w:p w14:paraId="0909F452" w14:textId="77777777" w:rsidR="00BC6AF7" w:rsidRDefault="00BC6AF7">
      <w:r w:rsidRPr="00BC6AF7">
        <w:rPr>
          <w:b/>
        </w:rPr>
        <w:t>Summary:</w:t>
      </w:r>
    </w:p>
    <w:p w14:paraId="34DF81EE" w14:textId="77777777" w:rsidR="00BC6AF7" w:rsidRDefault="00BC6AF7">
      <w:r>
        <w:t>The Hebrew noun miqrā’ designates a sacred assembly or a divine summons to gather. Derived from a root meaning "to call" or "to proclaim," it represents a designated time when the community of Israel was commanded to cease their daily labor and assemble in the presence of God. In Exodus 12:16, the term marks the boundaries of the Feast of Unleavened Bread, setting apart the first and seventh days as sacred spaces in time. This "holy convocation" served to unify the redeemed nation, shifting their focus from physical labor to spiritual remembrance of their deliverance from Egypt.</w:t>
      </w:r>
    </w:p>
    <w:p w14:paraId="71ED30F4" w14:textId="77777777" w:rsidR="00BC6AF7" w:rsidRDefault="00BC6AF7"/>
    <w:p w14:paraId="384D23CD" w14:textId="77777777" w:rsidR="00BC6AF7" w:rsidRDefault="00BC6AF7">
      <w:r w:rsidRPr="00BC6AF7">
        <w:rPr>
          <w:b/>
        </w:rPr>
        <w:t>Full Study:</w:t>
      </w:r>
    </w:p>
    <w:p w14:paraId="352E7D2D" w14:textId="77777777" w:rsidR="00BC6AF7" w:rsidRDefault="00BC6AF7"/>
    <w:p w14:paraId="2F91625D" w14:textId="77777777" w:rsidR="00BC6AF7" w:rsidRPr="00BC6AF7" w:rsidRDefault="00BC6AF7">
      <w:pPr>
        <w:rPr>
          <w:b/>
        </w:rPr>
      </w:pPr>
      <w:r w:rsidRPr="00BC6AF7">
        <w:rPr>
          <w:b/>
        </w:rPr>
        <w:t xml:space="preserve"> 1. Word Picture / Background</w:t>
      </w:r>
    </w:p>
    <w:p w14:paraId="331ED7DD" w14:textId="77777777" w:rsidR="00BC6AF7" w:rsidRDefault="00BC6AF7">
      <w:r>
        <w:t xml:space="preserve">The noun miqrā’ originates from the verbal root qārā’, which means "to call," "to summon," or "to proclaim." Historically, a miqrā’ is not just any casual gathering, but an official assembly brought about by a formal summons. The word picture is that of a king's herald sounding a trumpet or crying out to summon the citizens of a city to hear a royal decree or participate in a state event. In the ancient Near Eastern context, when God issued a miqrā’, He was acting as Israel's King, calling His subjects out of their private dwellings to assemble collectively before His throne. </w:t>
      </w:r>
    </w:p>
    <w:p w14:paraId="1EC5C174" w14:textId="77777777" w:rsidR="00BC6AF7" w:rsidRDefault="00BC6AF7"/>
    <w:p w14:paraId="10F44DF2" w14:textId="77777777" w:rsidR="00BC6AF7" w:rsidRPr="00BC6AF7" w:rsidRDefault="00BC6AF7">
      <w:pPr>
        <w:rPr>
          <w:b/>
        </w:rPr>
      </w:pPr>
      <w:r w:rsidRPr="00BC6AF7">
        <w:rPr>
          <w:b/>
        </w:rPr>
        <w:t xml:space="preserve"> 2. Meaning / Lexical Definition</w:t>
      </w:r>
    </w:p>
    <w:p w14:paraId="5F3369C4" w14:textId="77777777" w:rsidR="00BC6AF7" w:rsidRDefault="00BC6AF7">
      <w:r>
        <w:t>The word miqrā’ carries three primary lexical nuances depending on its context:</w:t>
      </w:r>
    </w:p>
    <w:p w14:paraId="1AE23DC3" w14:textId="77777777" w:rsidR="00BC6AF7" w:rsidRDefault="00BC6AF7">
      <w:r>
        <w:t>• A sacred assembly or convocation: A formal meeting of God's people for worship, instruction, and sacrifice. This is the most dominant usage, especially when paired with the word for holy (qōdeš).</w:t>
      </w:r>
    </w:p>
    <w:p w14:paraId="5AFD73F4" w14:textId="77777777" w:rsidR="00BC6AF7" w:rsidRDefault="00BC6AF7">
      <w:r>
        <w:t>• The act of calling together or summoning: The process of convening an assembly.</w:t>
      </w:r>
    </w:p>
    <w:p w14:paraId="26EC3A06" w14:textId="77777777" w:rsidR="00BC6AF7" w:rsidRDefault="00BC6AF7">
      <w:r>
        <w:t>• A reading or proclamation: The public reading of scripture or a state document (as seen in Nehemiah 8:8, where the reading of the Law is called miqrā’).</w:t>
      </w:r>
    </w:p>
    <w:p w14:paraId="350BC4AC" w14:textId="77777777" w:rsidR="00BC6AF7" w:rsidRDefault="00BC6AF7"/>
    <w:p w14:paraId="439BFF4D" w14:textId="77777777" w:rsidR="00BC6AF7" w:rsidRDefault="00BC6AF7">
      <w:r>
        <w:t>In the context of the Torah’s festival calendars, miqrā’ denotes a sacred day of assembly where ordinary work is restricted, and the community is called to corporate worship.</w:t>
      </w:r>
    </w:p>
    <w:p w14:paraId="14558147" w14:textId="77777777" w:rsidR="00BC6AF7" w:rsidRDefault="00BC6AF7"/>
    <w:p w14:paraId="43F9FD47" w14:textId="77777777" w:rsidR="00BC6AF7" w:rsidRPr="00BC6AF7" w:rsidRDefault="00BC6AF7">
      <w:pPr>
        <w:rPr>
          <w:b/>
        </w:rPr>
      </w:pPr>
      <w:r w:rsidRPr="00BC6AF7">
        <w:rPr>
          <w:b/>
        </w:rPr>
        <w:t xml:space="preserve"> 3. Usage and Word Pictures</w:t>
      </w:r>
    </w:p>
    <w:p w14:paraId="72187E73" w14:textId="77777777" w:rsidR="00BC6AF7" w:rsidRDefault="00BC6AF7">
      <w:r>
        <w:t xml:space="preserve">Out of its occurrences in the Old Testament, miqrā’ is most frequently coupled with qōdeš (holiness), translating to "holy convocation" (miqrā’-qōdeš). </w:t>
      </w:r>
    </w:p>
    <w:p w14:paraId="596288B7" w14:textId="77777777" w:rsidR="00BC6AF7" w:rsidRDefault="00BC6AF7">
      <w:r>
        <w:t>• The Divine Summons: The term indicates that the initiative for the meeting always lies with God. Israel does not schedule these days; God proclaims them.</w:t>
      </w:r>
    </w:p>
    <w:p w14:paraId="2120AAC3" w14:textId="77777777" w:rsidR="00BC6AF7" w:rsidRDefault="00BC6AF7">
      <w:r>
        <w:t>• Sacred Rehearsals: In Jewish tradition, these convocations are viewed as "rehearsals" for greater redemptive events. By gathering year after year on these specific days, the nation rehearsed the patterns of God's saving grace.</w:t>
      </w:r>
    </w:p>
    <w:p w14:paraId="2C296111" w14:textId="77777777" w:rsidR="00BC6AF7" w:rsidRDefault="00BC6AF7">
      <w:r>
        <w:t>• The Assembly of the Redeemed: The concept of miqrā’ lays the groundwork for the New Testament concept of the church (ekklesia), which also carries the literal meaning of a "called-out assembly."</w:t>
      </w:r>
    </w:p>
    <w:p w14:paraId="51569CF4" w14:textId="77777777" w:rsidR="00BC6AF7" w:rsidRDefault="00BC6AF7"/>
    <w:p w14:paraId="023512CB" w14:textId="77777777" w:rsidR="00BC6AF7" w:rsidRPr="00BC6AF7" w:rsidRDefault="00BC6AF7">
      <w:pPr>
        <w:rPr>
          <w:b/>
        </w:rPr>
      </w:pPr>
      <w:r w:rsidRPr="00BC6AF7">
        <w:rPr>
          <w:b/>
        </w:rPr>
        <w:t xml:space="preserve"> 4. Theological Implications</w:t>
      </w:r>
    </w:p>
    <w:p w14:paraId="538BD97F" w14:textId="77777777" w:rsidR="00BC6AF7" w:rsidRDefault="00BC6AF7">
      <w:r>
        <w:t xml:space="preserve">The theological weight of miqrā’ centers on the sanctification of time. God is not only the Lord of space and creation, but He is also the Lord of time. By commanding holy convocations, God carved out specific moments in the calendar where human productivity was paused to acknowledge divine sovereignty. </w:t>
      </w:r>
    </w:p>
    <w:p w14:paraId="5F2B8B6F" w14:textId="77777777" w:rsidR="00BC6AF7" w:rsidRDefault="00BC6AF7">
      <w:r>
        <w:t>• Redemption and Rest: A holy convocation required the cessation of occupational work. It demonstrated that Israel’s identity was no longer defined by the endless brick-making of Egyptian slavery, but by the restful worship of their Creator and Redeemer.</w:t>
      </w:r>
    </w:p>
    <w:p w14:paraId="36F37CEE" w14:textId="77777777" w:rsidR="00BC6AF7" w:rsidRDefault="00BC6AF7">
      <w:r>
        <w:t>• Corporate Identity: These convocations prevented individualistic faith. God did not merely save individuals; He called out a people. The miqrā’ forced the community to look at one another, stand together, and remember their shared origin story of grace.</w:t>
      </w:r>
    </w:p>
    <w:p w14:paraId="19E378D7" w14:textId="77777777" w:rsidR="00BC6AF7" w:rsidRDefault="00BC6AF7"/>
    <w:p w14:paraId="7037406B" w14:textId="77777777" w:rsidR="00BC6AF7" w:rsidRPr="00BC6AF7" w:rsidRDefault="00BC6AF7">
      <w:pPr>
        <w:rPr>
          <w:b/>
        </w:rPr>
      </w:pPr>
      <w:r w:rsidRPr="00BC6AF7">
        <w:rPr>
          <w:b/>
        </w:rPr>
        <w:t xml:space="preserve"> 5. Contextual Nuance in the Passage</w:t>
      </w:r>
    </w:p>
    <w:p w14:paraId="720AFFE1" w14:textId="77777777" w:rsidR="00BC6AF7" w:rsidRDefault="00BC6AF7">
      <w:r>
        <w:t xml:space="preserve">In Exodus 12:16, the setting is the immediate aftermath of the Passover night and the beginning of the Feast of Unleavened Bread. The text commands: "On the first day there shall be a holy convocation, and on the seventh day there shall be a holy convocation for you." </w:t>
      </w:r>
    </w:p>
    <w:p w14:paraId="570DC105" w14:textId="77777777" w:rsidR="00BC6AF7" w:rsidRDefault="00BC6AF7">
      <w:r>
        <w:t>• Bookends of Deliverance: The first day marked the hasty departure from Egypt, while the seventh day marked the completion of the initial journey of escape. The two convocations act as holy bookends, enclosing the entire week of unleavened bread in sacred time.</w:t>
      </w:r>
    </w:p>
    <w:p w14:paraId="69817A11" w14:textId="77777777" w:rsidR="00BC6AF7" w:rsidRDefault="00BC6AF7">
      <w:r>
        <w:t>• Permitted Labor: Unlike the weekly Sabbath, where absolutely no work of any kind was permitted, the convocations of the Feast of Unleavened Bread allowed one exception: "no manner of work shall be done on them; but that which everyone must eat—that only may be prepared by you." This practical concession highlighted God's mercy; the day was solemn and set apart, yet joyfully celebrated with prepared food.</w:t>
      </w:r>
    </w:p>
    <w:p w14:paraId="31BA071E" w14:textId="77777777" w:rsidR="00BC6AF7" w:rsidRDefault="00BC6AF7"/>
    <w:p w14:paraId="3E6E812E" w14:textId="77777777" w:rsidR="00BC6AF7" w:rsidRPr="00BC6AF7" w:rsidRDefault="00BC6AF7">
      <w:pPr>
        <w:rPr>
          <w:b/>
        </w:rPr>
      </w:pPr>
      <w:r w:rsidRPr="00BC6AF7">
        <w:rPr>
          <w:b/>
        </w:rPr>
        <w:t xml:space="preserve"> 6. Key Uses in Other Verses (NKJV)</w:t>
      </w:r>
    </w:p>
    <w:p w14:paraId="352C884E" w14:textId="77777777" w:rsidR="00BC6AF7" w:rsidRDefault="00BC6AF7">
      <w:r>
        <w:t>• Leviticus 23:3: "Six days shall work be done, but the seventh day is a Sabbath of solemn rest, a holy convocation."</w:t>
      </w:r>
    </w:p>
    <w:p w14:paraId="6DAD2B38" w14:textId="77777777" w:rsidR="00BC6AF7" w:rsidRDefault="00BC6AF7">
      <w:r>
        <w:t>• Leviticus 23:4: "These are the feasts of the Lord, holy convocations which you shall proclaim in their seasons."</w:t>
      </w:r>
    </w:p>
    <w:p w14:paraId="24A0DB38" w14:textId="77777777" w:rsidR="00BC6AF7" w:rsidRDefault="00BC6AF7">
      <w:r>
        <w:t>• Numbers 28:18: "On the first day there shall be a holy convocation. You shall do no customary work."</w:t>
      </w:r>
    </w:p>
    <w:p w14:paraId="1FC71788" w14:textId="77777777" w:rsidR="00BC6AF7" w:rsidRDefault="00BC6AF7">
      <w:r>
        <w:t>• Numbers 29:1: "And in the seventh month, on the first day of the month, you shall have a holy convocation; you shall do no customary work. For you it is a day of blowing the trumpets."</w:t>
      </w:r>
    </w:p>
    <w:p w14:paraId="7A626125" w14:textId="77777777" w:rsidR="00BC6AF7" w:rsidRDefault="00BC6AF7"/>
    <w:p w14:paraId="49B56FCF" w14:textId="77777777" w:rsidR="00BC6AF7" w:rsidRPr="00BC6AF7" w:rsidRDefault="00BC6AF7">
      <w:pPr>
        <w:rPr>
          <w:b/>
        </w:rPr>
      </w:pPr>
      <w:r w:rsidRPr="00BC6AF7">
        <w:rPr>
          <w:b/>
        </w:rPr>
        <w:t xml:space="preserve"> 7. Other Relevant Insights</w:t>
      </w:r>
    </w:p>
    <w:p w14:paraId="343D0DAE" w14:textId="77777777" w:rsidR="00BC6AF7" w:rsidRDefault="00BC6AF7">
      <w:r>
        <w:t xml:space="preserve">In the Septuagint (the ancient Greek translation of the Old Testament), miqrā’ is often translated using the Greek word klētos (called/summoned) or hagios (holy/set apart), emphasizing the divine invitation. </w:t>
      </w:r>
    </w:p>
    <w:p w14:paraId="04AF91CB" w14:textId="77777777" w:rsidR="00BC6AF7" w:rsidRDefault="00BC6AF7">
      <w:r>
        <w:t>There is a profound linguistic and theological trajectory from miqrā’ to the New Testament ekklesia. When Christ declared, "I will build My church," He was using a term that resonated with the Hebrew concept of the miqrā’—a community called out from the world, summoned by the King, to assemble in His name for His glory.</w:t>
      </w:r>
    </w:p>
    <w:p w14:paraId="5A79214D" w14:textId="77777777" w:rsidR="00BC6AF7" w:rsidRDefault="00BC6AF7"/>
    <w:p w14:paraId="297F22B9" w14:textId="77777777" w:rsidR="00BC6AF7" w:rsidRPr="00BC6AF7" w:rsidRDefault="00BC6AF7">
      <w:pPr>
        <w:rPr>
          <w:b/>
        </w:rPr>
      </w:pPr>
      <w:r w:rsidRPr="00BC6AF7">
        <w:rPr>
          <w:b/>
        </w:rPr>
        <w:t xml:space="preserve"> 8. References</w:t>
      </w:r>
    </w:p>
    <w:p w14:paraId="4D5BB91A" w14:textId="77777777" w:rsidR="00BC6AF7" w:rsidRDefault="00BC6AF7">
      <w:r>
        <w:t>• Brown-Driver-Briggs Hebrew and English Lexicon</w:t>
      </w:r>
    </w:p>
    <w:p w14:paraId="66713997" w14:textId="77777777" w:rsidR="00BC6AF7" w:rsidRDefault="00BC6AF7">
      <w:r>
        <w:t>• Theological Wordbook of the Old Testament (TWOT)</w:t>
      </w:r>
    </w:p>
    <w:p w14:paraId="311EEBF3" w14:textId="77777777" w:rsidR="00BC6AF7" w:rsidRDefault="00BC6AF7">
      <w:r>
        <w:t>• Hebrew and Aramaic Lexicon of the Old Testament (HALOT)</w:t>
      </w:r>
    </w:p>
    <w:p w14:paraId="01429C36" w14:textId="77777777" w:rsidR="00BC6AF7" w:rsidRDefault="00BC6AF7">
      <w:r>
        <w:t>• Vine's Complete Expository Dictionary of Old and New Testament Words</w:t>
      </w:r>
    </w:p>
    <w:p w14:paraId="59A04006" w14:textId="736F6BED" w:rsidR="004C5552" w:rsidRDefault="00BC6AF7">
      <w:r>
        <w:t>• 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6AF7"/>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61D2"/>
  <w15:chartTrackingRefBased/>
  <w15:docId w15:val="{79F30305-A0D1-4276-81BA-C0FABF98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6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6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AF7"/>
    <w:rPr>
      <w:rFonts w:eastAsiaTheme="majorEastAsia" w:cstheme="majorBidi"/>
      <w:color w:val="272727" w:themeColor="text1" w:themeTint="D8"/>
    </w:rPr>
  </w:style>
  <w:style w:type="paragraph" w:styleId="Title">
    <w:name w:val="Title"/>
    <w:basedOn w:val="Normal"/>
    <w:next w:val="Normal"/>
    <w:link w:val="TitleChar"/>
    <w:uiPriority w:val="10"/>
    <w:qFormat/>
    <w:rsid w:val="00BC6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AF7"/>
    <w:pPr>
      <w:spacing w:before="160"/>
      <w:jc w:val="center"/>
    </w:pPr>
    <w:rPr>
      <w:i/>
      <w:iCs/>
      <w:color w:val="404040" w:themeColor="text1" w:themeTint="BF"/>
    </w:rPr>
  </w:style>
  <w:style w:type="character" w:customStyle="1" w:styleId="QuoteChar">
    <w:name w:val="Quote Char"/>
    <w:basedOn w:val="DefaultParagraphFont"/>
    <w:link w:val="Quote"/>
    <w:uiPriority w:val="29"/>
    <w:rsid w:val="00BC6AF7"/>
    <w:rPr>
      <w:i/>
      <w:iCs/>
      <w:color w:val="404040" w:themeColor="text1" w:themeTint="BF"/>
    </w:rPr>
  </w:style>
  <w:style w:type="paragraph" w:styleId="ListParagraph">
    <w:name w:val="List Paragraph"/>
    <w:basedOn w:val="Normal"/>
    <w:uiPriority w:val="34"/>
    <w:qFormat/>
    <w:rsid w:val="00BC6AF7"/>
    <w:pPr>
      <w:ind w:left="720"/>
      <w:contextualSpacing/>
    </w:pPr>
  </w:style>
  <w:style w:type="character" w:styleId="IntenseEmphasis">
    <w:name w:val="Intense Emphasis"/>
    <w:basedOn w:val="DefaultParagraphFont"/>
    <w:uiPriority w:val="21"/>
    <w:qFormat/>
    <w:rsid w:val="00BC6AF7"/>
    <w:rPr>
      <w:i/>
      <w:iCs/>
      <w:color w:val="2E74B5" w:themeColor="accent1" w:themeShade="BF"/>
    </w:rPr>
  </w:style>
  <w:style w:type="paragraph" w:styleId="IntenseQuote">
    <w:name w:val="Intense Quote"/>
    <w:basedOn w:val="Normal"/>
    <w:next w:val="Normal"/>
    <w:link w:val="IntenseQuoteChar"/>
    <w:uiPriority w:val="30"/>
    <w:qFormat/>
    <w:rsid w:val="00BC6A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6AF7"/>
    <w:rPr>
      <w:i/>
      <w:iCs/>
      <w:color w:val="2E74B5" w:themeColor="accent1" w:themeShade="BF"/>
    </w:rPr>
  </w:style>
  <w:style w:type="character" w:styleId="IntenseReference">
    <w:name w:val="Intense Reference"/>
    <w:basedOn w:val="DefaultParagraphFont"/>
    <w:uiPriority w:val="32"/>
    <w:qFormat/>
    <w:rsid w:val="00BC6A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