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5D7B3" w14:textId="77777777" w:rsidR="00C42075" w:rsidRPr="00C42075" w:rsidRDefault="00C42075">
      <w:pPr>
        <w:rPr>
          <w:b/>
        </w:rPr>
      </w:pPr>
      <w:r w:rsidRPr="00C42075">
        <w:rPr>
          <w:b/>
        </w:rPr>
        <w:t>HOLY - ( qōdeš , Strong's H6944 )</w:t>
      </w:r>
    </w:p>
    <w:p w14:paraId="0420CBFE" w14:textId="77777777" w:rsidR="00C42075" w:rsidRDefault="00C42075">
      <w:r w:rsidRPr="00C42075">
        <w:rPr>
          <w:b/>
        </w:rPr>
        <w:t>Summary:</w:t>
      </w:r>
    </w:p>
    <w:p w14:paraId="793E7A34" w14:textId="77777777" w:rsidR="00C42075" w:rsidRDefault="00C42075">
      <w:r>
        <w:t>The Hebrew noun qōdeš refers to apartness, sacredness, or holiness. It denotes that which is set apart from the common, profane, or ordinary and consecrated to the service of God. In Exodus 12:16, it describes a "holy convocation" (miqrā</w:t>
      </w:r>
      <w:r>
        <w:rPr>
          <w:rFonts w:ascii="Arial" w:hAnsi="Arial" w:cs="Arial"/>
        </w:rPr>
        <w:t>ʾ</w:t>
      </w:r>
      <w:r>
        <w:t>-q</w:t>
      </w:r>
      <w:r>
        <w:rPr>
          <w:rFonts w:ascii="Aptos" w:hAnsi="Aptos" w:cs="Aptos"/>
        </w:rPr>
        <w:t>ō</w:t>
      </w:r>
      <w:r>
        <w:t>de</w:t>
      </w:r>
      <w:r>
        <w:rPr>
          <w:rFonts w:ascii="Aptos" w:hAnsi="Aptos" w:cs="Aptos"/>
        </w:rPr>
        <w:t>š</w:t>
      </w:r>
      <w:r>
        <w:t>), a sacred assembly of God's redeemed people summoned to gather in His presence, withdrawing from their daily labor to commemorate the Passover and the Feast of Unleavened Bread.</w:t>
      </w:r>
    </w:p>
    <w:p w14:paraId="6CE3202A" w14:textId="77777777" w:rsidR="00C42075" w:rsidRDefault="00C42075"/>
    <w:p w14:paraId="6055CE16" w14:textId="77777777" w:rsidR="00C42075" w:rsidRDefault="00C42075">
      <w:r w:rsidRPr="00C42075">
        <w:rPr>
          <w:b/>
        </w:rPr>
        <w:t>Full Study:</w:t>
      </w:r>
    </w:p>
    <w:p w14:paraId="56D0124F" w14:textId="77777777" w:rsidR="00C42075" w:rsidRDefault="00C42075"/>
    <w:p w14:paraId="075B4542" w14:textId="77777777" w:rsidR="00C42075" w:rsidRPr="00C42075" w:rsidRDefault="00C42075">
      <w:pPr>
        <w:rPr>
          <w:b/>
        </w:rPr>
      </w:pPr>
      <w:r w:rsidRPr="00C42075">
        <w:rPr>
          <w:b/>
        </w:rPr>
        <w:t>1. Word Picture / Background</w:t>
      </w:r>
    </w:p>
    <w:p w14:paraId="537C9F4F" w14:textId="77777777" w:rsidR="00C42075" w:rsidRDefault="00C42075">
      <w:r>
        <w:t xml:space="preserve">The root q-d-š carries the primary idea of separation, cutting off, or setting apart. While some etymological theories suggest a root meaning "to cut" (marking a distinct boundary), the primary ancient Near Eastern background emphasizes a boundary line drawn between the divine realm and the mundane realm. Objects, places, times, or people designated as qōdeš are transferred out of common, everyday use and placed exclusively into the sphere of the divine. It is the opposite of </w:t>
      </w:r>
      <w:r>
        <w:rPr>
          <w:rFonts w:ascii="Calibri" w:hAnsi="Calibri" w:cs="Calibri"/>
        </w:rPr>
        <w:t>ḥ</w:t>
      </w:r>
      <w:r>
        <w:t>ōl, which means common or profane.</w:t>
      </w:r>
    </w:p>
    <w:p w14:paraId="6EF88B96" w14:textId="77777777" w:rsidR="00C42075" w:rsidRDefault="00C42075"/>
    <w:p w14:paraId="500FFD4A" w14:textId="77777777" w:rsidR="00C42075" w:rsidRPr="00C42075" w:rsidRDefault="00C42075">
      <w:pPr>
        <w:rPr>
          <w:b/>
        </w:rPr>
      </w:pPr>
      <w:r w:rsidRPr="00C42075">
        <w:rPr>
          <w:b/>
        </w:rPr>
        <w:t>2. Meaning / Lexical Definition</w:t>
      </w:r>
    </w:p>
    <w:p w14:paraId="1074ED35" w14:textId="77777777" w:rsidR="00C42075" w:rsidRDefault="00C42075">
      <w:r>
        <w:t>• Qōdeš is a masculine noun meaning "holiness," "sacredness," or "consecrated thing." When paired with other nouns (such as miqrā</w:t>
      </w:r>
      <w:r>
        <w:rPr>
          <w:rFonts w:ascii="Arial" w:hAnsi="Arial" w:cs="Arial"/>
        </w:rPr>
        <w:t>ʾ</w:t>
      </w:r>
      <w:r>
        <w:t>, "assembly" or "convocation"), it functions adjectivally to mean "holy" or "sacred." It refers to the inherent character of God Himself (the Holy One) and, derivatively, to anything that belongs to Him, is consecrated to Him, or is used in His worship. This includes holy places (the sanctuary), holy times (Sabbaths and feasts), holy things (sacrifices and vessels), and a holy people.</w:t>
      </w:r>
    </w:p>
    <w:p w14:paraId="70BCBE40" w14:textId="77777777" w:rsidR="00C42075" w:rsidRDefault="00C42075"/>
    <w:p w14:paraId="13DB9FB4" w14:textId="77777777" w:rsidR="00C42075" w:rsidRPr="00C42075" w:rsidRDefault="00C42075">
      <w:pPr>
        <w:rPr>
          <w:b/>
        </w:rPr>
      </w:pPr>
      <w:r w:rsidRPr="00C42075">
        <w:rPr>
          <w:b/>
        </w:rPr>
        <w:t>3. Usage and Word Pictures</w:t>
      </w:r>
    </w:p>
    <w:p w14:paraId="6B8A7901" w14:textId="77777777" w:rsidR="00C42075" w:rsidRDefault="00C42075">
      <w:r>
        <w:t>In the Pentateuch, qōdeš is used extensively to define the boundaries of Israel’s worship:</w:t>
      </w:r>
    </w:p>
    <w:p w14:paraId="3A51198B" w14:textId="77777777" w:rsidR="00C42075" w:rsidRDefault="00C42075">
      <w:r>
        <w:t>• The tabernacle contains the "holy place" (māqōm qādōš) and the Most Holy Place (qōdeš qodāšîm).</w:t>
      </w:r>
    </w:p>
    <w:p w14:paraId="544DBED7" w14:textId="77777777" w:rsidR="00C42075" w:rsidRDefault="00C42075">
      <w:r>
        <w:t>• The garments of the high priest are "holy garments" (Exodus 28:2), indicating they are designed exclusively for divine service and cannot be worn in daily life.</w:t>
      </w:r>
    </w:p>
    <w:p w14:paraId="459F13AC" w14:textId="77777777" w:rsidR="00C42075" w:rsidRDefault="00C42075">
      <w:r>
        <w:t>• The tithe and the firstborn animals are qōdeš to the Lord, meaning they are reserved for Him and cannot be used for personal profit.</w:t>
      </w:r>
    </w:p>
    <w:p w14:paraId="02C297F6" w14:textId="77777777" w:rsidR="00C42075" w:rsidRDefault="00C42075">
      <w:r>
        <w:t>• The word picture is that of a sacred circle drawn around an object, day, or person, marking it as reserved exclusively for the King.</w:t>
      </w:r>
    </w:p>
    <w:p w14:paraId="7E4C701C" w14:textId="77777777" w:rsidR="00C42075" w:rsidRDefault="00C42075"/>
    <w:p w14:paraId="5575E7C5" w14:textId="77777777" w:rsidR="00C42075" w:rsidRPr="00C42075" w:rsidRDefault="00C42075">
      <w:pPr>
        <w:rPr>
          <w:b/>
        </w:rPr>
      </w:pPr>
      <w:r w:rsidRPr="00C42075">
        <w:rPr>
          <w:b/>
        </w:rPr>
        <w:t>4. Theological Implications</w:t>
      </w:r>
    </w:p>
    <w:p w14:paraId="27495C3D" w14:textId="77777777" w:rsidR="00C42075" w:rsidRDefault="00C42075">
      <w:r>
        <w:t>Holiness is not merely a moral quality but an ontological reality originating in the character of Yahweh. God is the source of all holiness. Because God is holy, those whom He redeems must also be holy. The transition from Egypt (a land of bondage and defilement) to the Promised Land requires Israel to learn the distinction between the clean and the unclean, the holy (qōdeš) and the common (</w:t>
      </w:r>
      <w:r>
        <w:rPr>
          <w:rFonts w:ascii="Calibri" w:hAnsi="Calibri" w:cs="Calibri"/>
        </w:rPr>
        <w:t>ḥ</w:t>
      </w:r>
      <w:r>
        <w:t>ōl). A "holy convocation" signals that worship is a scheduled meeting with the King. It demands a posture of reverence, preparation, and cessation from ordinary pursuits.</w:t>
      </w:r>
    </w:p>
    <w:p w14:paraId="44646AAC" w14:textId="77777777" w:rsidR="00C42075" w:rsidRDefault="00C42075"/>
    <w:p w14:paraId="5B5D3282" w14:textId="77777777" w:rsidR="00C42075" w:rsidRPr="00C42075" w:rsidRDefault="00C42075">
      <w:pPr>
        <w:rPr>
          <w:b/>
        </w:rPr>
      </w:pPr>
      <w:r w:rsidRPr="00C42075">
        <w:rPr>
          <w:b/>
        </w:rPr>
        <w:t>5. Contextual Nuance in the Passage</w:t>
      </w:r>
    </w:p>
    <w:p w14:paraId="21677FE4" w14:textId="77777777" w:rsidR="00C42075" w:rsidRDefault="00C42075">
      <w:r>
        <w:t>In Exodus 12:16, the context is the establishment of the Feast of Unleavened Bread immediately following the first Passover. God commands a miqrā</w:t>
      </w:r>
      <w:r>
        <w:rPr>
          <w:rFonts w:ascii="Arial" w:hAnsi="Arial" w:cs="Arial"/>
        </w:rPr>
        <w:t>ʾ</w:t>
      </w:r>
      <w:r>
        <w:t>-q</w:t>
      </w:r>
      <w:r>
        <w:rPr>
          <w:rFonts w:ascii="Aptos" w:hAnsi="Aptos" w:cs="Aptos"/>
        </w:rPr>
        <w:t>ō</w:t>
      </w:r>
      <w:r>
        <w:t>de</w:t>
      </w:r>
      <w:r>
        <w:rPr>
          <w:rFonts w:ascii="Aptos" w:hAnsi="Aptos" w:cs="Aptos"/>
        </w:rPr>
        <w:t>š</w:t>
      </w:r>
      <w:r>
        <w:t xml:space="preserve"> (holy convocation) on both the first day and the seventh day. The word miqr</w:t>
      </w:r>
      <w:r>
        <w:rPr>
          <w:rFonts w:ascii="Aptos" w:hAnsi="Aptos" w:cs="Aptos"/>
        </w:rPr>
        <w:t>ā</w:t>
      </w:r>
      <w:r>
        <w:rPr>
          <w:rFonts w:ascii="Arial" w:hAnsi="Arial" w:cs="Arial"/>
        </w:rPr>
        <w:t>ʾ</w:t>
      </w:r>
      <w:r>
        <w:t xml:space="preserve"> comes from the root q</w:t>
      </w:r>
      <w:r>
        <w:rPr>
          <w:rFonts w:ascii="Aptos" w:hAnsi="Aptos" w:cs="Aptos"/>
        </w:rPr>
        <w:t>ā</w:t>
      </w:r>
      <w:r>
        <w:t>r</w:t>
      </w:r>
      <w:r>
        <w:rPr>
          <w:rFonts w:ascii="Aptos" w:hAnsi="Aptos" w:cs="Aptos"/>
        </w:rPr>
        <w:t>ā</w:t>
      </w:r>
      <w:r>
        <w:rPr>
          <w:rFonts w:ascii="Arial" w:hAnsi="Arial" w:cs="Arial"/>
        </w:rPr>
        <w:t>ʾ</w:t>
      </w:r>
      <w:r>
        <w:t xml:space="preserve"> ("to call" or "to summon"). A holy convocation is a state-issued summons from Yahweh to His people. The holiness of this day is demonstrated by the absolute prohibition of regular work (məlā</w:t>
      </w:r>
      <w:r>
        <w:rPr>
          <w:rFonts w:ascii="Arial" w:hAnsi="Arial" w:cs="Arial"/>
        </w:rPr>
        <w:t>ʾ</w:t>
      </w:r>
      <w:r>
        <w:rPr>
          <w:rFonts w:ascii="Calibri" w:hAnsi="Calibri" w:cs="Calibri"/>
        </w:rPr>
        <w:t>ḵ</w:t>
      </w:r>
      <w:r>
        <w:t>â), except for the preparation of daily food. This cessation of work honors the sacred character of the day, transforming physical rest into an act of spiritual devotion and remembrance of deliverance.</w:t>
      </w:r>
    </w:p>
    <w:p w14:paraId="1AA21F6D" w14:textId="77777777" w:rsidR="00C42075" w:rsidRDefault="00C42075"/>
    <w:p w14:paraId="589C6B05" w14:textId="77777777" w:rsidR="00C42075" w:rsidRPr="00C42075" w:rsidRDefault="00C42075">
      <w:pPr>
        <w:rPr>
          <w:b/>
        </w:rPr>
      </w:pPr>
      <w:r w:rsidRPr="00C42075">
        <w:rPr>
          <w:b/>
        </w:rPr>
        <w:t>6. Key Uses in Other Verses (NKJV)</w:t>
      </w:r>
    </w:p>
    <w:p w14:paraId="03C2712B" w14:textId="77777777" w:rsidR="00C42075" w:rsidRDefault="00C42075">
      <w:r>
        <w:t>• Exodus 3:5 – "...the place where you stand is holy ground."</w:t>
      </w:r>
    </w:p>
    <w:p w14:paraId="557C23A2" w14:textId="77777777" w:rsidR="00C42075" w:rsidRDefault="00C42075">
      <w:r>
        <w:t>• Exodus 15:11 – "Who is like You, glorious in holiness..."</w:t>
      </w:r>
    </w:p>
    <w:p w14:paraId="166FF3B7" w14:textId="77777777" w:rsidR="00C42075" w:rsidRDefault="00C42075">
      <w:r>
        <w:t>• Exodus 28:2 – "And you shall make holy garments for Aaron your brother..."</w:t>
      </w:r>
    </w:p>
    <w:p w14:paraId="5FE5829A" w14:textId="77777777" w:rsidR="00C42075" w:rsidRDefault="00C42075">
      <w:r>
        <w:t>• Leviticus 23:3 – "...but the seventh day is a Sabbath of solemn rest, a holy convocation."</w:t>
      </w:r>
    </w:p>
    <w:p w14:paraId="02D046F5" w14:textId="77777777" w:rsidR="00C42075" w:rsidRDefault="00C42075">
      <w:r>
        <w:t>• Psalm 29:2 – "...Worship the Lord in the beauty of holiness."</w:t>
      </w:r>
    </w:p>
    <w:p w14:paraId="0B3EE5E5" w14:textId="77777777" w:rsidR="00C42075" w:rsidRDefault="00C42075"/>
    <w:p w14:paraId="07064136" w14:textId="77777777" w:rsidR="00C42075" w:rsidRPr="00C42075" w:rsidRDefault="00C42075">
      <w:pPr>
        <w:rPr>
          <w:b/>
        </w:rPr>
      </w:pPr>
      <w:r w:rsidRPr="00C42075">
        <w:rPr>
          <w:b/>
        </w:rPr>
        <w:t>7. Other Relevant Insights</w:t>
      </w:r>
    </w:p>
    <w:p w14:paraId="160075E0" w14:textId="77777777" w:rsidR="00C42075" w:rsidRDefault="00C42075">
      <w:r>
        <w:t>The concept of the holy convocation prefigures the New Testament concept of the ekklesia (the "called-out" assembly). Just as Israel was called out of their tents to gather in sacred assembly before Yahweh, the church is called out of the world to gather as a holy temple in the Lord. Additionally, the allowance for food preparation in Exodus 12:16 ("that which everyone must eat—that only may be prepared by you") contrasts with the stricter weekly Sabbath laws, showing God's pastoral care; the feast was to be a time of holy celebration and joy, not of fasting or undue physical hardship.</w:t>
      </w:r>
    </w:p>
    <w:p w14:paraId="2AB6BE9D" w14:textId="77777777" w:rsidR="00C42075" w:rsidRDefault="00C42075"/>
    <w:p w14:paraId="3FBB4E5F" w14:textId="77777777" w:rsidR="00C42075" w:rsidRPr="00C42075" w:rsidRDefault="00C42075">
      <w:pPr>
        <w:rPr>
          <w:b/>
        </w:rPr>
      </w:pPr>
      <w:r w:rsidRPr="00C42075">
        <w:rPr>
          <w:b/>
        </w:rPr>
        <w:t>8. References</w:t>
      </w:r>
    </w:p>
    <w:p w14:paraId="0FBA7B57" w14:textId="77777777" w:rsidR="00C42075" w:rsidRDefault="00C42075">
      <w:r>
        <w:t>• Brown, Francis, S.R. Driver, and Charles A. Briggs. The Brown-Driver-Briggs Hebrew and English Lexicon.</w:t>
      </w:r>
    </w:p>
    <w:p w14:paraId="001A7082" w14:textId="77777777" w:rsidR="00C42075" w:rsidRDefault="00C42075">
      <w:r>
        <w:t>• Harris, R. Laird, Gleason L. Archer Jr., and Bruce K. Waltke. Theological Wordbook of the Old Testament.</w:t>
      </w:r>
    </w:p>
    <w:p w14:paraId="115ACBAC" w14:textId="77777777" w:rsidR="00C42075" w:rsidRDefault="00C42075">
      <w:r>
        <w:t>• Koehler, Ludwig, and Walter Baumgartner. The Hebrew and Aramaic Lexicon of the Old Testament.</w:t>
      </w:r>
    </w:p>
    <w:p w14:paraId="634451E9" w14:textId="77777777" w:rsidR="00C42075" w:rsidRDefault="00C42075">
      <w:r>
        <w:t>• VanGemeren, Willem A., ed. New International Dictionary of Old Testament Theology and Exegesis.</w:t>
      </w:r>
    </w:p>
    <w:p w14:paraId="4F074A57" w14:textId="77777777" w:rsidR="00C42075" w:rsidRDefault="00C42075">
      <w:r>
        <w:t>• Blue Letter Bible.</w:t>
      </w:r>
    </w:p>
    <w:p w14:paraId="65BBD0D5" w14:textId="77777777" w:rsidR="004C5552" w:rsidRDefault="00C4207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0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2075"/>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51171"/>
  <w15:chartTrackingRefBased/>
  <w15:docId w15:val="{85E19DB6-B6F5-4B67-B65E-CC1B98341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2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2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075"/>
    <w:rPr>
      <w:rFonts w:eastAsiaTheme="majorEastAsia" w:cstheme="majorBidi"/>
      <w:color w:val="272727" w:themeColor="text1" w:themeTint="D8"/>
    </w:rPr>
  </w:style>
  <w:style w:type="paragraph" w:styleId="Title">
    <w:name w:val="Title"/>
    <w:basedOn w:val="Normal"/>
    <w:next w:val="Normal"/>
    <w:link w:val="TitleChar"/>
    <w:uiPriority w:val="10"/>
    <w:qFormat/>
    <w:rsid w:val="00C42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075"/>
    <w:pPr>
      <w:spacing w:before="160"/>
      <w:jc w:val="center"/>
    </w:pPr>
    <w:rPr>
      <w:i/>
      <w:iCs/>
      <w:color w:val="404040" w:themeColor="text1" w:themeTint="BF"/>
    </w:rPr>
  </w:style>
  <w:style w:type="character" w:customStyle="1" w:styleId="QuoteChar">
    <w:name w:val="Quote Char"/>
    <w:basedOn w:val="DefaultParagraphFont"/>
    <w:link w:val="Quote"/>
    <w:uiPriority w:val="29"/>
    <w:rsid w:val="00C42075"/>
    <w:rPr>
      <w:i/>
      <w:iCs/>
      <w:color w:val="404040" w:themeColor="text1" w:themeTint="BF"/>
    </w:rPr>
  </w:style>
  <w:style w:type="paragraph" w:styleId="ListParagraph">
    <w:name w:val="List Paragraph"/>
    <w:basedOn w:val="Normal"/>
    <w:uiPriority w:val="34"/>
    <w:qFormat/>
    <w:rsid w:val="00C42075"/>
    <w:pPr>
      <w:ind w:left="720"/>
      <w:contextualSpacing/>
    </w:pPr>
  </w:style>
  <w:style w:type="character" w:styleId="IntenseEmphasis">
    <w:name w:val="Intense Emphasis"/>
    <w:basedOn w:val="DefaultParagraphFont"/>
    <w:uiPriority w:val="21"/>
    <w:qFormat/>
    <w:rsid w:val="00C42075"/>
    <w:rPr>
      <w:i/>
      <w:iCs/>
      <w:color w:val="2E74B5" w:themeColor="accent1" w:themeShade="BF"/>
    </w:rPr>
  </w:style>
  <w:style w:type="paragraph" w:styleId="IntenseQuote">
    <w:name w:val="Intense Quote"/>
    <w:basedOn w:val="Normal"/>
    <w:next w:val="Normal"/>
    <w:link w:val="IntenseQuoteChar"/>
    <w:uiPriority w:val="30"/>
    <w:qFormat/>
    <w:rsid w:val="00C420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2075"/>
    <w:rPr>
      <w:i/>
      <w:iCs/>
      <w:color w:val="2E74B5" w:themeColor="accent1" w:themeShade="BF"/>
    </w:rPr>
  </w:style>
  <w:style w:type="character" w:styleId="IntenseReference">
    <w:name w:val="Intense Reference"/>
    <w:basedOn w:val="DefaultParagraphFont"/>
    <w:uiPriority w:val="32"/>
    <w:qFormat/>
    <w:rsid w:val="00C420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2026-08-14T09:37:00Z</dcterms:modified>
</cp:coreProperties>
</file>