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6360" w14:textId="77777777" w:rsidR="00CA1BFA" w:rsidRPr="00CA1BFA" w:rsidRDefault="00CA1BFA">
      <w:pPr>
        <w:rPr>
          <w:b/>
        </w:rPr>
      </w:pPr>
      <w:r w:rsidRPr="00CA1BFA">
        <w:rPr>
          <w:b/>
        </w:rPr>
        <w:t>STRANGER - ( ger , Strong's H1616 )</w:t>
      </w:r>
    </w:p>
    <w:p w14:paraId="318E7755" w14:textId="77777777" w:rsidR="00CA1BFA" w:rsidRDefault="00CA1BFA">
      <w:r w:rsidRPr="00CA1BFA">
        <w:rPr>
          <w:b/>
        </w:rPr>
        <w:t>Summary:</w:t>
      </w:r>
    </w:p>
    <w:p w14:paraId="2B97D1BA" w14:textId="77777777" w:rsidR="00CA1BFA" w:rsidRDefault="00CA1BFA">
      <w:r>
        <w:t>The Hebrew noun ger refers to a resident alien or sojourner—someone who leaves their native land and resides long-term in another community, finding shelter, protection, and legal standing there. In Exodus 12:19, the ger is a non-Israelite living within the covenant community of Israel who is explicitly bound to keep the Feast of Unleavened Bread, demonstrating that resident foreigners shared not only the social protections of Israel but also their covenantal and ritual obligations.</w:t>
      </w:r>
    </w:p>
    <w:p w14:paraId="3E7CCE41" w14:textId="77777777" w:rsidR="00CA1BFA" w:rsidRDefault="00CA1BFA"/>
    <w:p w14:paraId="32245493" w14:textId="77777777" w:rsidR="00CA1BFA" w:rsidRDefault="00CA1BFA">
      <w:r w:rsidRPr="00CA1BFA">
        <w:rPr>
          <w:b/>
        </w:rPr>
        <w:t>Full Study:</w:t>
      </w:r>
    </w:p>
    <w:p w14:paraId="7D7032B2" w14:textId="77777777" w:rsidR="00CA1BFA" w:rsidRDefault="00CA1BFA"/>
    <w:p w14:paraId="7CEFCB15" w14:textId="77777777" w:rsidR="00CA1BFA" w:rsidRPr="00CA1BFA" w:rsidRDefault="00CA1BFA">
      <w:pPr>
        <w:rPr>
          <w:b/>
        </w:rPr>
      </w:pPr>
      <w:r w:rsidRPr="00CA1BFA">
        <w:rPr>
          <w:b/>
        </w:rPr>
        <w:t>1. Word Picture / Background</w:t>
      </w:r>
    </w:p>
    <w:p w14:paraId="237364F2" w14:textId="77777777" w:rsidR="00CA1BFA" w:rsidRDefault="00CA1BFA">
      <w:r>
        <w:t>The noun ger comes from the root verb gur (Strong's H1481), which means "to sojourn," "to dwell as a newcomer," or "to seek hospitality." In the ancient Near East, a ger was not a mere passing traveler (nokri or zar), but a resident alien who had settled down in a community not their own. Because they lacked the protection of their native family and ancestral land, they were politically and economically vulnerable. Consequently, ancient hospitality and later biblical law extended special protections to them. The word conjures the picture of someone who has cast their lot with a host community, relying entirely on the host's goodwill and laws for survival and justice.</w:t>
      </w:r>
    </w:p>
    <w:p w14:paraId="640B40D7" w14:textId="77777777" w:rsidR="00CA1BFA" w:rsidRDefault="00CA1BFA"/>
    <w:p w14:paraId="7BAA2C05" w14:textId="77777777" w:rsidR="00CA1BFA" w:rsidRPr="00CA1BFA" w:rsidRDefault="00CA1BFA">
      <w:pPr>
        <w:rPr>
          <w:b/>
        </w:rPr>
      </w:pPr>
      <w:r w:rsidRPr="00CA1BFA">
        <w:rPr>
          <w:b/>
        </w:rPr>
        <w:t>2. Meaning / Lexical Definition</w:t>
      </w:r>
    </w:p>
    <w:p w14:paraId="072AEF51" w14:textId="77777777" w:rsidR="00CA1BFA" w:rsidRDefault="00CA1BFA">
      <w:r>
        <w:t>A ger is a resident alien, sojourner, or foreigner who has taken up permanent or long-term residence in Israel. Unlike a temporary foreign visitor (nokri), the ger was integrated into the social and economic life of the community. Lexically, the term represents a distinct class of people who, while not native-born Israelites, enjoyed legal rights, were subject to the same laws, and could participate in many of Israel's religious acts. The term denotes someone who lives in a land where they do not possess ancestral land rights but are recognized as part of the social fabric.</w:t>
      </w:r>
    </w:p>
    <w:p w14:paraId="44A0D16E" w14:textId="77777777" w:rsidR="00CA1BFA" w:rsidRDefault="00CA1BFA"/>
    <w:p w14:paraId="5AAF27E5" w14:textId="77777777" w:rsidR="00CA1BFA" w:rsidRPr="00CA1BFA" w:rsidRDefault="00CA1BFA">
      <w:pPr>
        <w:rPr>
          <w:b/>
        </w:rPr>
      </w:pPr>
      <w:r w:rsidRPr="00CA1BFA">
        <w:rPr>
          <w:b/>
        </w:rPr>
        <w:t>3. Usage and Word Pictures</w:t>
      </w:r>
    </w:p>
    <w:p w14:paraId="5911ED5C" w14:textId="77777777" w:rsidR="00CA1BFA" w:rsidRDefault="00CA1BFA">
      <w:r>
        <w:t>Throughout the Old Testament, ger is contrasted with the ezrach (the native-born citizen). This pairing emphasizes that both groups are subject to the same divine standards. The Old Testament uses ger to describe:</w:t>
      </w:r>
    </w:p>
    <w:p w14:paraId="673E59C9" w14:textId="77777777" w:rsidR="00CA1BFA" w:rsidRDefault="00CA1BFA">
      <w:r>
        <w:t>• Individuals like Abraham, who described himself as a "foreigner and a sojourner" (ger and toshav) among the Hittites in Hebron (Genesis 23:4).</w:t>
      </w:r>
    </w:p>
    <w:p w14:paraId="596480FC" w14:textId="77777777" w:rsidR="00CA1BFA" w:rsidRDefault="00CA1BFA">
      <w:r>
        <w:t>• Moses, who named his son Gershom because he had been a "stranger in a foreign land" (Exodus 18:3).</w:t>
      </w:r>
    </w:p>
    <w:p w14:paraId="71FB9984" w14:textId="77777777" w:rsidR="00CA1BFA" w:rsidRDefault="00CA1BFA">
      <w:r>
        <w:t>• Israel as a nation during their four-hundred-year stay in Egypt (Genesis 15:13; Exodus 22:21). This historical memory became the ethical foundation for how Israel was commanded to treat the ger in their own midst.</w:t>
      </w:r>
    </w:p>
    <w:p w14:paraId="373A4FBA" w14:textId="77777777" w:rsidR="00CA1BFA" w:rsidRDefault="00CA1BFA"/>
    <w:p w14:paraId="5E19EE15" w14:textId="77777777" w:rsidR="00CA1BFA" w:rsidRPr="00CA1BFA" w:rsidRDefault="00CA1BFA">
      <w:pPr>
        <w:rPr>
          <w:b/>
        </w:rPr>
      </w:pPr>
      <w:r w:rsidRPr="00CA1BFA">
        <w:rPr>
          <w:b/>
        </w:rPr>
        <w:t>4. Theological Implications</w:t>
      </w:r>
    </w:p>
    <w:p w14:paraId="33104C3F" w14:textId="77777777" w:rsidR="00CA1BFA" w:rsidRDefault="00CA1BFA">
      <w:r>
        <w:t xml:space="preserve">The treatment of the ger is one of the most prominent ethical themes in the Torah. God continually reminds Israel to love and protect the stranger because they were once strangers in Egypt. This historical reality serves as a powerful theological motivator for empathy and justice. </w:t>
      </w:r>
    </w:p>
    <w:p w14:paraId="29988B8A" w14:textId="77777777" w:rsidR="00CA1BFA" w:rsidRDefault="00CA1BFA">
      <w:r>
        <w:t>Furthermore, the inclusion of the ger in covenantal commands signifies that God's redemptive community was never intended to be purely ethnic. Anyone who aligned themselves with Israel's God and community was expected—and permitted—to participate in its spiritual life. Ultimately, the Old Testament reveals that even native Israelites are spiritually gerim (plural of ger) on the earth, owning no land outright because the land belongs to God, and they are merely tenants and sojourners with Him (Leviticus 25:23).</w:t>
      </w:r>
    </w:p>
    <w:p w14:paraId="69367983" w14:textId="77777777" w:rsidR="00CA1BFA" w:rsidRDefault="00CA1BFA"/>
    <w:p w14:paraId="645CA594" w14:textId="77777777" w:rsidR="00CA1BFA" w:rsidRPr="00CA1BFA" w:rsidRDefault="00CA1BFA">
      <w:pPr>
        <w:rPr>
          <w:b/>
        </w:rPr>
      </w:pPr>
      <w:r w:rsidRPr="00CA1BFA">
        <w:rPr>
          <w:b/>
        </w:rPr>
        <w:t>5. Contextual Nuance in the Passage</w:t>
      </w:r>
    </w:p>
    <w:p w14:paraId="4368D523" w14:textId="77777777" w:rsidR="00CA1BFA" w:rsidRDefault="00CA1BFA">
      <w:r>
        <w:t xml:space="preserve">In Exodus 12:19, the context is the institution of the Passover and the Feast of Unleavened Bread. The text warns that anyone eating leavened bread during the seven days must be "cut off" (excommunicated or subjected to divine judgment) from the congregation of Israel, "whether he is a stranger (ger) or a native of the land." </w:t>
      </w:r>
    </w:p>
    <w:p w14:paraId="5D03F22E" w14:textId="77777777" w:rsidR="00CA1BFA" w:rsidRDefault="00CA1BFA">
      <w:r>
        <w:t>This inclusion is highly significant. While some ritual requirements were optional or forbidden to foreigners, the prohibition against leaven during this sacred season applied equally to the ger. If a resident alien chose to live within the camp of Israel, they had to respect the spiritual purity of the community. In the ancient Near East, religious rituals were tightly bound to national identity, but here, the ger is integrated into the covenant community's sacred time and holiness requirements. It shows that holiness was not an ethnic privilege but a community-wide demand.</w:t>
      </w:r>
    </w:p>
    <w:p w14:paraId="62C8C96B" w14:textId="77777777" w:rsidR="00CA1BFA" w:rsidRDefault="00CA1BFA"/>
    <w:p w14:paraId="02007A00" w14:textId="77777777" w:rsidR="00CA1BFA" w:rsidRPr="00CA1BFA" w:rsidRDefault="00CA1BFA">
      <w:pPr>
        <w:rPr>
          <w:b/>
        </w:rPr>
      </w:pPr>
      <w:r w:rsidRPr="00CA1BFA">
        <w:rPr>
          <w:b/>
        </w:rPr>
        <w:t>6. Key Uses in Other Verses (NKJV)</w:t>
      </w:r>
    </w:p>
    <w:p w14:paraId="41EE3FF2" w14:textId="77777777" w:rsidR="00CA1BFA" w:rsidRDefault="00CA1BFA">
      <w:r>
        <w:t>• Genesis 23:4 - "I am a foreigner and a sojourner [ger] among you; give me property for a burial place among you, that I may bury my dead out of my sight."</w:t>
      </w:r>
    </w:p>
    <w:p w14:paraId="1ADA9008" w14:textId="77777777" w:rsidR="00CA1BFA" w:rsidRDefault="00CA1BFA">
      <w:r>
        <w:t>• Exodus 22:21 - "You shall neither mistreat a stranger [ger] nor oppress him, for you were strangers in the land of Egypt."</w:t>
      </w:r>
    </w:p>
    <w:p w14:paraId="1BE3CF3F" w14:textId="77777777" w:rsidR="00CA1BFA" w:rsidRDefault="00CA1BFA">
      <w:r>
        <w:t>• Leviticus 19:34 - "The stranger [ger] who dwells among you shall be to you as one born among you, and you shall love him as yourself; for you were strangers in the land of Egypt: I am the LORD your God."</w:t>
      </w:r>
    </w:p>
    <w:p w14:paraId="415C85E6" w14:textId="77777777" w:rsidR="00CA1BFA" w:rsidRDefault="00CA1BFA">
      <w:r>
        <w:t>• Deuteronomy 10:19 - "Therefore love the stranger [ger], for you were strangers in the land of Egypt."</w:t>
      </w:r>
    </w:p>
    <w:p w14:paraId="5B2DB99D" w14:textId="77777777" w:rsidR="00CA1BFA" w:rsidRDefault="00CA1BFA"/>
    <w:p w14:paraId="3F0C0DEF" w14:textId="77777777" w:rsidR="00CA1BFA" w:rsidRPr="00CA1BFA" w:rsidRDefault="00CA1BFA">
      <w:pPr>
        <w:rPr>
          <w:b/>
        </w:rPr>
      </w:pPr>
      <w:r w:rsidRPr="00CA1BFA">
        <w:rPr>
          <w:b/>
        </w:rPr>
        <w:t>7. Other Relevant Insights</w:t>
      </w:r>
    </w:p>
    <w:p w14:paraId="032A0589" w14:textId="77777777" w:rsidR="00CA1BFA" w:rsidRDefault="00CA1BFA">
      <w:r>
        <w:t>In later Judaism, the concept of the ger evolved. The rabbis distinguished between a ger toshav (a resident alien who accepted the basic moral laws of the Noahide covenant but did not convert to Judaism) and a ger tzedek (a righteous proselyte who fully converted, was circumcised, and took on the entire yoke of the Torah). In the context of Exodus 12:19, the ger who wished to celebrate the actual Passover meal had to be circumcised (Exodus 12:48). However, even the uncircumcised ger living in Israel was still prohibited from having or eating leaven in their household during the festival, highlighting how the physical presence of leaven affected the entire community's purity.</w:t>
      </w:r>
    </w:p>
    <w:p w14:paraId="23C185BB" w14:textId="77777777" w:rsidR="00CA1BFA" w:rsidRDefault="00CA1BFA"/>
    <w:p w14:paraId="370C2FEE" w14:textId="77777777" w:rsidR="00CA1BFA" w:rsidRPr="00CA1BFA" w:rsidRDefault="00CA1BFA">
      <w:pPr>
        <w:rPr>
          <w:b/>
        </w:rPr>
      </w:pPr>
      <w:r w:rsidRPr="00CA1BFA">
        <w:rPr>
          <w:b/>
        </w:rPr>
        <w:t>8. References</w:t>
      </w:r>
    </w:p>
    <w:p w14:paraId="77213BD1" w14:textId="77777777" w:rsidR="00CA1BFA" w:rsidRDefault="00CA1BFA">
      <w:r>
        <w:t>• Brown, Francis, S.R. Driver, and Charles A. Briggs. The Brown-Driver-Briggs Hebrew and English Lexicon.</w:t>
      </w:r>
    </w:p>
    <w:p w14:paraId="11F808AD" w14:textId="77777777" w:rsidR="00CA1BFA" w:rsidRDefault="00CA1BFA">
      <w:r>
        <w:t>• Harris, R. Laird, Gleason L. Archer Jr., and Bruce K. Waltke. Theological Wordbook of the Old Testament.</w:t>
      </w:r>
    </w:p>
    <w:p w14:paraId="659EA8CA" w14:textId="77777777" w:rsidR="00CA1BFA" w:rsidRDefault="00CA1BFA">
      <w:r>
        <w:t>• Koehler, Ludwig, and Walter Baumgartner. The Hebrew and Aramaic Lexicon of the Old Testament.</w:t>
      </w:r>
    </w:p>
    <w:p w14:paraId="24B6FE96" w14:textId="77777777" w:rsidR="00CA1BFA" w:rsidRDefault="00CA1BFA">
      <w:r>
        <w:t>• VanGemeren, Willem A., ed. New International Dictionary of Old Testament Theology and Exegesis.</w:t>
      </w:r>
    </w:p>
    <w:p w14:paraId="6D4D0533" w14:textId="22C8D581" w:rsidR="004C5552" w:rsidRDefault="00CA1BF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B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1BFA"/>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342B"/>
  <w15:chartTrackingRefBased/>
  <w15:docId w15:val="{5C931463-4DD5-4DE0-AC0A-69F6012A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1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1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BFA"/>
    <w:rPr>
      <w:rFonts w:eastAsiaTheme="majorEastAsia" w:cstheme="majorBidi"/>
      <w:color w:val="272727" w:themeColor="text1" w:themeTint="D8"/>
    </w:rPr>
  </w:style>
  <w:style w:type="paragraph" w:styleId="Title">
    <w:name w:val="Title"/>
    <w:basedOn w:val="Normal"/>
    <w:next w:val="Normal"/>
    <w:link w:val="TitleChar"/>
    <w:uiPriority w:val="10"/>
    <w:qFormat/>
    <w:rsid w:val="00CA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BFA"/>
    <w:pPr>
      <w:spacing w:before="160"/>
      <w:jc w:val="center"/>
    </w:pPr>
    <w:rPr>
      <w:i/>
      <w:iCs/>
      <w:color w:val="404040" w:themeColor="text1" w:themeTint="BF"/>
    </w:rPr>
  </w:style>
  <w:style w:type="character" w:customStyle="1" w:styleId="QuoteChar">
    <w:name w:val="Quote Char"/>
    <w:basedOn w:val="DefaultParagraphFont"/>
    <w:link w:val="Quote"/>
    <w:uiPriority w:val="29"/>
    <w:rsid w:val="00CA1BFA"/>
    <w:rPr>
      <w:i/>
      <w:iCs/>
      <w:color w:val="404040" w:themeColor="text1" w:themeTint="BF"/>
    </w:rPr>
  </w:style>
  <w:style w:type="paragraph" w:styleId="ListParagraph">
    <w:name w:val="List Paragraph"/>
    <w:basedOn w:val="Normal"/>
    <w:uiPriority w:val="34"/>
    <w:qFormat/>
    <w:rsid w:val="00CA1BFA"/>
    <w:pPr>
      <w:ind w:left="720"/>
      <w:contextualSpacing/>
    </w:pPr>
  </w:style>
  <w:style w:type="character" w:styleId="IntenseEmphasis">
    <w:name w:val="Intense Emphasis"/>
    <w:basedOn w:val="DefaultParagraphFont"/>
    <w:uiPriority w:val="21"/>
    <w:qFormat/>
    <w:rsid w:val="00CA1BFA"/>
    <w:rPr>
      <w:i/>
      <w:iCs/>
      <w:color w:val="2E74B5" w:themeColor="accent1" w:themeShade="BF"/>
    </w:rPr>
  </w:style>
  <w:style w:type="paragraph" w:styleId="IntenseQuote">
    <w:name w:val="Intense Quote"/>
    <w:basedOn w:val="Normal"/>
    <w:next w:val="Normal"/>
    <w:link w:val="IntenseQuoteChar"/>
    <w:uiPriority w:val="30"/>
    <w:qFormat/>
    <w:rsid w:val="00CA1B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1BFA"/>
    <w:rPr>
      <w:i/>
      <w:iCs/>
      <w:color w:val="2E74B5" w:themeColor="accent1" w:themeShade="BF"/>
    </w:rPr>
  </w:style>
  <w:style w:type="character" w:styleId="IntenseReference">
    <w:name w:val="Intense Reference"/>
    <w:basedOn w:val="DefaultParagraphFont"/>
    <w:uiPriority w:val="32"/>
    <w:qFormat/>
    <w:rsid w:val="00CA1B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