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9DB7F" w14:textId="77777777" w:rsidR="005E6329" w:rsidRPr="005E6329" w:rsidRDefault="005E6329">
      <w:pPr>
        <w:rPr>
          <w:b/>
        </w:rPr>
      </w:pPr>
      <w:r w:rsidRPr="005E6329">
        <w:rPr>
          <w:b/>
        </w:rPr>
        <w:t>HIRED SERVANT - ( sakiyr , Strong's H7916 )</w:t>
      </w:r>
    </w:p>
    <w:p w14:paraId="4BCE631D" w14:textId="77777777" w:rsidR="005E6329" w:rsidRDefault="005E6329">
      <w:r w:rsidRPr="005E6329">
        <w:rPr>
          <w:b/>
        </w:rPr>
        <w:t>Summary:</w:t>
      </w:r>
    </w:p>
    <w:p w14:paraId="07AC1EC9" w14:textId="77777777" w:rsidR="005E6329" w:rsidRDefault="005E6329">
      <w:r>
        <w:t>The Hebrew term sakiyr refers to a hired worker or wage earner who is temporarily employed rather than permanently bound to a household as a bonded servant. In Exodus 12:45, the word underscores the vital theological distinction between the covenant community—those fully redeemed and incorporated into Israel through the blood of the Passover lamb—and temporary outsiders who remain strangers to the covenant promises.</w:t>
      </w:r>
    </w:p>
    <w:p w14:paraId="4C9CEEE8" w14:textId="77777777" w:rsidR="005E6329" w:rsidRDefault="005E6329"/>
    <w:p w14:paraId="22AA7055" w14:textId="77777777" w:rsidR="005E6329" w:rsidRDefault="005E6329">
      <w:r w:rsidRPr="005E6329">
        <w:rPr>
          <w:b/>
        </w:rPr>
        <w:t>Full Study:</w:t>
      </w:r>
    </w:p>
    <w:p w14:paraId="578288D5" w14:textId="77777777" w:rsidR="005E6329" w:rsidRDefault="005E6329"/>
    <w:p w14:paraId="5D918FB8" w14:textId="77777777" w:rsidR="005E6329" w:rsidRPr="005E6329" w:rsidRDefault="005E6329">
      <w:pPr>
        <w:rPr>
          <w:b/>
        </w:rPr>
      </w:pPr>
      <w:r w:rsidRPr="005E6329">
        <w:rPr>
          <w:b/>
        </w:rPr>
        <w:t>1. Word Picture / Background</w:t>
      </w:r>
    </w:p>
    <w:p w14:paraId="1921DE15" w14:textId="77777777" w:rsidR="005E6329" w:rsidRDefault="005E6329">
      <w:r>
        <w:t>• Rooted in a verb meaning to hire or engage for wages, sakiyr paints the picture of transactional labor where a person works for a specific, agreed-upon compensation for a limited time.</w:t>
      </w:r>
    </w:p>
    <w:p w14:paraId="58BDFEB1" w14:textId="77777777" w:rsidR="005E6329" w:rsidRDefault="005E6329">
      <w:r>
        <w:t>• Unlike native-born Israelites or permanently purchased servants (eved), the sakiyr maintains independence and is defined by a strictly economic relationship rather than a covenantal one.</w:t>
      </w:r>
    </w:p>
    <w:p w14:paraId="73257725" w14:textId="77777777" w:rsidR="005E6329" w:rsidRDefault="005E6329">
      <w:r>
        <w:t>• In the ancient Near East, hired laborers were often vulnerable members of society, dependent on daily wages for survival, yet in the context of Passover, their temporary and external status is the primary point of contrast.</w:t>
      </w:r>
    </w:p>
    <w:p w14:paraId="0CEBCC8E" w14:textId="77777777" w:rsidR="005E6329" w:rsidRDefault="005E6329"/>
    <w:p w14:paraId="7137892C" w14:textId="77777777" w:rsidR="005E6329" w:rsidRPr="005E6329" w:rsidRDefault="005E6329">
      <w:pPr>
        <w:rPr>
          <w:b/>
        </w:rPr>
      </w:pPr>
      <w:r w:rsidRPr="005E6329">
        <w:rPr>
          <w:b/>
        </w:rPr>
        <w:t>2. Meaning / Lexical Definition</w:t>
      </w:r>
    </w:p>
    <w:p w14:paraId="7137BD96" w14:textId="77777777" w:rsidR="005E6329" w:rsidRDefault="005E6329">
      <w:r>
        <w:t>• The noun designates a hireling, hired servant, or hired worker.</w:t>
      </w:r>
    </w:p>
    <w:p w14:paraId="0028EDE6" w14:textId="77777777" w:rsidR="005E6329" w:rsidRDefault="005E6329">
      <w:r>
        <w:t>• It describes someone who sells their labor for a wage (sekher) rather than belonging to the family, clan, or covenant community by birth or formal adoption.</w:t>
      </w:r>
    </w:p>
    <w:p w14:paraId="26F849B5" w14:textId="77777777" w:rsidR="005E6329" w:rsidRDefault="005E6329">
      <w:r>
        <w:t>• The term highlights the provisional, conditional, and non-permanent nature of the individual's association with the household employing them.</w:t>
      </w:r>
    </w:p>
    <w:p w14:paraId="4583BE3E" w14:textId="77777777" w:rsidR="005E6329" w:rsidRDefault="005E6329"/>
    <w:p w14:paraId="48FF05A3" w14:textId="77777777" w:rsidR="005E6329" w:rsidRPr="005E6329" w:rsidRDefault="005E6329">
      <w:pPr>
        <w:rPr>
          <w:b/>
        </w:rPr>
      </w:pPr>
      <w:r w:rsidRPr="005E6329">
        <w:rPr>
          <w:b/>
        </w:rPr>
        <w:t>3. Usage and Word Pictures</w:t>
      </w:r>
    </w:p>
    <w:p w14:paraId="51CAA5DC" w14:textId="77777777" w:rsidR="005E6329" w:rsidRDefault="005E6329">
      <w:r>
        <w:t>• The Old Testament frequently pairs the sakiyr with the stranger or foreigner (nokri or toshav), distinguishing those who are outside the core covenant obligations and privileges.</w:t>
      </w:r>
    </w:p>
    <w:p w14:paraId="0156370F" w14:textId="77777777" w:rsidR="005E6329" w:rsidRDefault="005E6329">
      <w:r>
        <w:t>• In Leviticus 19:13, the sakiyr is the recipient of justice, highlighting the ethical requirement to treat hired workers fairly and pay their wages promptly, even though they lack familial status.</w:t>
      </w:r>
    </w:p>
    <w:p w14:paraId="32DAD3AE" w14:textId="77777777" w:rsidR="005E6329" w:rsidRDefault="005E6329">
      <w:r>
        <w:t>• The legal boundaries surrounding religious observances, such as the Passover or eating the holy offerings (Exodus 12:45, Leviticus 22:10), use the hireling to illustrate that sacred participation requires covenant belonging, not merely proximity or employment.</w:t>
      </w:r>
    </w:p>
    <w:p w14:paraId="238DDB39" w14:textId="77777777" w:rsidR="005E6329" w:rsidRDefault="005E6329"/>
    <w:p w14:paraId="243D282B" w14:textId="77777777" w:rsidR="005E6329" w:rsidRPr="005E6329" w:rsidRDefault="005E6329">
      <w:pPr>
        <w:rPr>
          <w:b/>
        </w:rPr>
      </w:pPr>
      <w:r w:rsidRPr="005E6329">
        <w:rPr>
          <w:b/>
        </w:rPr>
        <w:t>4. Theological Implications</w:t>
      </w:r>
    </w:p>
    <w:p w14:paraId="373110D0" w14:textId="77777777" w:rsidR="005E6329" w:rsidRDefault="005E6329">
      <w:r>
        <w:t>• Exodus 12:45 establishes that the Passover meal is exclusively for those who belong to the redeemed community through the blood of the lamb. A hired servant remains an outsider to the covenant.</w:t>
      </w:r>
    </w:p>
    <w:p w14:paraId="38CB7056" w14:textId="77777777" w:rsidR="005E6329" w:rsidRDefault="005E6329">
      <w:r>
        <w:t>• This anticipates the New Testament reality that spiritual privileges and communion with God cannot be earned through transactional labor or external association, but require true redemption, adoption, and regeneration.</w:t>
      </w:r>
    </w:p>
    <w:p w14:paraId="5874AA76" w14:textId="77777777" w:rsidR="005E6329" w:rsidRDefault="005E6329">
      <w:r>
        <w:t>• The distinction protects the holiness of the sacrament, teaching that membership in the people of God is a matter of sovereign grace and covenant relationship, not employment or temporary convenience.</w:t>
      </w:r>
    </w:p>
    <w:p w14:paraId="68FAEE61" w14:textId="77777777" w:rsidR="005E6329" w:rsidRDefault="005E6329"/>
    <w:p w14:paraId="4A07510B" w14:textId="77777777" w:rsidR="005E6329" w:rsidRPr="005E6329" w:rsidRDefault="005E6329">
      <w:pPr>
        <w:rPr>
          <w:b/>
        </w:rPr>
      </w:pPr>
      <w:r w:rsidRPr="005E6329">
        <w:rPr>
          <w:b/>
        </w:rPr>
        <w:t>5. Contextual Nuance in the Passage</w:t>
      </w:r>
    </w:p>
    <w:p w14:paraId="0C271BCC" w14:textId="77777777" w:rsidR="005E6329" w:rsidRDefault="005E6329">
      <w:r>
        <w:t>• In Exodus 12:45, God commands that no foreigner, sojourner, or hired servant (sakiyr) shall eat of the Passover lamb.</w:t>
      </w:r>
    </w:p>
    <w:p w14:paraId="323351BE" w14:textId="77777777" w:rsidR="005E6329" w:rsidRDefault="005E6329">
      <w:r>
        <w:t>• While a purchased servant who undergoes circumcision may partake (Exodus 12:44), the hired servant—retaining an independent, economic-only status without full integration into the house of Israel—is strictly barred.</w:t>
      </w:r>
    </w:p>
    <w:p w14:paraId="4482F8D9" w14:textId="77777777" w:rsidR="005E6329" w:rsidRDefault="005E6329">
      <w:r>
        <w:t>• The passage emphasizes that participation in the foundational redemption event of Israel demands full covenant commitment and identity, separating the insider from the outsider.</w:t>
      </w:r>
    </w:p>
    <w:p w14:paraId="3AE711A1" w14:textId="77777777" w:rsidR="005E6329" w:rsidRDefault="005E6329"/>
    <w:p w14:paraId="7BF0C3EC" w14:textId="77777777" w:rsidR="005E6329" w:rsidRPr="005E6329" w:rsidRDefault="005E6329">
      <w:pPr>
        <w:rPr>
          <w:b/>
        </w:rPr>
      </w:pPr>
      <w:r w:rsidRPr="005E6329">
        <w:rPr>
          <w:b/>
        </w:rPr>
        <w:t>6. Key Uses in Other Verses (NKJV)</w:t>
      </w:r>
    </w:p>
    <w:p w14:paraId="385C983E" w14:textId="77777777" w:rsidR="005E6329" w:rsidRDefault="005E6329">
      <w:r>
        <w:t>• Exodus 12:45 - "A foreigner and a hired servant shall not eat it."</w:t>
      </w:r>
    </w:p>
    <w:p w14:paraId="3D8801E1" w14:textId="77777777" w:rsidR="005E6329" w:rsidRDefault="005E6329">
      <w:r>
        <w:t>• Leviticus 22:10 - "No outsider shall eat the holy thing; one who dwells with the priest, or a hired servant, shall not eat the holy thing."</w:t>
      </w:r>
    </w:p>
    <w:p w14:paraId="59DA8F4D" w14:textId="77777777" w:rsidR="005E6329" w:rsidRDefault="005E6329">
      <w:r>
        <w:t>• Deuteronomy 24:14 - "You shall not oppress a hired servant who is needy and poor, whether one of your brethren or one of the strangers who is in your land within your gates."</w:t>
      </w:r>
    </w:p>
    <w:p w14:paraId="42685FBA" w14:textId="77777777" w:rsidR="005E6329" w:rsidRDefault="005E6329">
      <w:r>
        <w:t>• Job 7:1 - "Is there not a term of appointed time to man upon earth? And are not his days like the days of a hired servant?"</w:t>
      </w:r>
    </w:p>
    <w:p w14:paraId="19D052EE" w14:textId="77777777" w:rsidR="005E6329" w:rsidRDefault="005E6329">
      <w:r>
        <w:t>• Malachi 3:5 - "And I will come near you for judgment; I will be a swift witness against sorcerers, against adulterers, against perjurers, against those who exploit wage earners [or hired servants] and widows and orphans..."</w:t>
      </w:r>
    </w:p>
    <w:p w14:paraId="68AAF3DB" w14:textId="77777777" w:rsidR="005E6329" w:rsidRDefault="005E6329"/>
    <w:p w14:paraId="78638349" w14:textId="77777777" w:rsidR="005E6329" w:rsidRPr="005E6329" w:rsidRDefault="005E6329">
      <w:pPr>
        <w:rPr>
          <w:b/>
        </w:rPr>
      </w:pPr>
      <w:r w:rsidRPr="005E6329">
        <w:rPr>
          <w:b/>
        </w:rPr>
        <w:t>7. Other Relevant Insights</w:t>
      </w:r>
    </w:p>
    <w:p w14:paraId="16B17AA4" w14:textId="77777777" w:rsidR="005E6329" w:rsidRDefault="005E6329">
      <w:r>
        <w:t>• Job compares the grueling, weary nature of human suffering and mortal toil to the arduous days of a sakiyr who longs for the evening shadow and the end of the workday.</w:t>
      </w:r>
    </w:p>
    <w:p w14:paraId="217CBB0F" w14:textId="77777777" w:rsidR="005E6329" w:rsidRDefault="005E6329">
      <w:r>
        <w:t>• The legal protections afforded to the hired servant in Deuteronomy and Malachi reveal God's deep concern for justice toward the vulnerable, even while maintaining strict theological boundaries regarding covenant worship.</w:t>
      </w:r>
    </w:p>
    <w:p w14:paraId="11DAC0FB" w14:textId="77777777" w:rsidR="005E6329" w:rsidRDefault="005E6329"/>
    <w:p w14:paraId="3C6E6B4B" w14:textId="77777777" w:rsidR="005E6329" w:rsidRPr="005E6329" w:rsidRDefault="005E6329">
      <w:pPr>
        <w:rPr>
          <w:b/>
        </w:rPr>
      </w:pPr>
      <w:r w:rsidRPr="005E6329">
        <w:rPr>
          <w:b/>
        </w:rPr>
        <w:t>8. References</w:t>
      </w:r>
    </w:p>
    <w:p w14:paraId="5497C865" w14:textId="77777777" w:rsidR="005E6329" w:rsidRDefault="005E6329">
      <w:r>
        <w:t>• HALOT</w:t>
      </w:r>
    </w:p>
    <w:p w14:paraId="4D70C81D" w14:textId="77777777" w:rsidR="005E6329" w:rsidRDefault="005E6329">
      <w:r>
        <w:t>• BDB</w:t>
      </w:r>
    </w:p>
    <w:p w14:paraId="461B30A2" w14:textId="77777777" w:rsidR="005E6329" w:rsidRDefault="005E6329">
      <w:r>
        <w:t>• TWOT</w:t>
      </w:r>
    </w:p>
    <w:p w14:paraId="6A490FA8" w14:textId="77777777" w:rsidR="005E6329" w:rsidRDefault="005E6329">
      <w:r>
        <w:t>• NIDOTTE</w:t>
      </w:r>
    </w:p>
    <w:p w14:paraId="683FB23B" w14:textId="0FEA984B" w:rsidR="004C5552" w:rsidRDefault="005E6329">
      <w:r>
        <w:t>• Theological Dictionary of the Old Testament (TDOT)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329"/>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756A8"/>
  <w15:chartTrackingRefBased/>
  <w15:docId w15:val="{FB53E758-72FC-49AF-9B3B-0E7A222C2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6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6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329"/>
    <w:rPr>
      <w:rFonts w:eastAsiaTheme="majorEastAsia" w:cstheme="majorBidi"/>
      <w:color w:val="272727" w:themeColor="text1" w:themeTint="D8"/>
    </w:rPr>
  </w:style>
  <w:style w:type="paragraph" w:styleId="Title">
    <w:name w:val="Title"/>
    <w:basedOn w:val="Normal"/>
    <w:next w:val="Normal"/>
    <w:link w:val="TitleChar"/>
    <w:uiPriority w:val="10"/>
    <w:qFormat/>
    <w:rsid w:val="005E6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329"/>
    <w:pPr>
      <w:spacing w:before="160"/>
      <w:jc w:val="center"/>
    </w:pPr>
    <w:rPr>
      <w:i/>
      <w:iCs/>
      <w:color w:val="404040" w:themeColor="text1" w:themeTint="BF"/>
    </w:rPr>
  </w:style>
  <w:style w:type="character" w:customStyle="1" w:styleId="QuoteChar">
    <w:name w:val="Quote Char"/>
    <w:basedOn w:val="DefaultParagraphFont"/>
    <w:link w:val="Quote"/>
    <w:uiPriority w:val="29"/>
    <w:rsid w:val="005E6329"/>
    <w:rPr>
      <w:i/>
      <w:iCs/>
      <w:color w:val="404040" w:themeColor="text1" w:themeTint="BF"/>
    </w:rPr>
  </w:style>
  <w:style w:type="paragraph" w:styleId="ListParagraph">
    <w:name w:val="List Paragraph"/>
    <w:basedOn w:val="Normal"/>
    <w:uiPriority w:val="34"/>
    <w:qFormat/>
    <w:rsid w:val="005E6329"/>
    <w:pPr>
      <w:ind w:left="720"/>
      <w:contextualSpacing/>
    </w:pPr>
  </w:style>
  <w:style w:type="character" w:styleId="IntenseEmphasis">
    <w:name w:val="Intense Emphasis"/>
    <w:basedOn w:val="DefaultParagraphFont"/>
    <w:uiPriority w:val="21"/>
    <w:qFormat/>
    <w:rsid w:val="005E6329"/>
    <w:rPr>
      <w:i/>
      <w:iCs/>
      <w:color w:val="2E74B5" w:themeColor="accent1" w:themeShade="BF"/>
    </w:rPr>
  </w:style>
  <w:style w:type="paragraph" w:styleId="IntenseQuote">
    <w:name w:val="Intense Quote"/>
    <w:basedOn w:val="Normal"/>
    <w:next w:val="Normal"/>
    <w:link w:val="IntenseQuoteChar"/>
    <w:uiPriority w:val="30"/>
    <w:qFormat/>
    <w:rsid w:val="005E63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6329"/>
    <w:rPr>
      <w:i/>
      <w:iCs/>
      <w:color w:val="2E74B5" w:themeColor="accent1" w:themeShade="BF"/>
    </w:rPr>
  </w:style>
  <w:style w:type="character" w:styleId="IntenseReference">
    <w:name w:val="Intense Reference"/>
    <w:basedOn w:val="DefaultParagraphFont"/>
    <w:uiPriority w:val="32"/>
    <w:qFormat/>
    <w:rsid w:val="005E63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700</Words>
  <Characters>3990</Characters>
  <Application>Microsoft Office Word</Application>
  <DocSecurity>0</DocSecurity>
  <Lines>33</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