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15CA" w14:textId="77777777" w:rsidR="00D45B40" w:rsidRPr="00D45B40" w:rsidRDefault="00D45B40">
      <w:pPr>
        <w:rPr>
          <w:b/>
        </w:rPr>
      </w:pPr>
      <w:r w:rsidRPr="00D45B40">
        <w:rPr>
          <w:b/>
        </w:rPr>
        <w:t>STRANGER - ( ger , Strong's H1616 )</w:t>
      </w:r>
    </w:p>
    <w:p w14:paraId="7DDB1769" w14:textId="77777777" w:rsidR="00D45B40" w:rsidRDefault="00D45B40">
      <w:r w:rsidRPr="00D45B40">
        <w:rPr>
          <w:b/>
        </w:rPr>
        <w:t>Summary:</w:t>
      </w:r>
    </w:p>
    <w:p w14:paraId="1B9A701A" w14:textId="77777777" w:rsidR="00D45B40" w:rsidRDefault="00D45B40">
      <w:r>
        <w:t>In the Old Testament, a ger is a resident alien—a foreigner who has settled semi-permanently among the Israelite community after leaving their native land. Unlike a transient traveler, the ger occupied a unique, intermediate social status. They did not possess ancestral land rights but were granted legal protections, social provisions, and an invitation to participate in the spiritual life of Israel. In Exodus 12:48, the ger is offered an extraordinary path to full covenant integration: by undergoing circumcision, they could partake in the sacred Passover meal on equal terms with the native-born, demonstrating that inclusion in God's family was ultimately defined by covenant loyalty rather than mere physical lineage.</w:t>
      </w:r>
    </w:p>
    <w:p w14:paraId="2C81E051" w14:textId="77777777" w:rsidR="00D45B40" w:rsidRDefault="00D45B40"/>
    <w:p w14:paraId="189F7E97" w14:textId="77777777" w:rsidR="00D45B40" w:rsidRDefault="00D45B40">
      <w:r w:rsidRPr="00D45B40">
        <w:rPr>
          <w:b/>
        </w:rPr>
        <w:t>Full Study:</w:t>
      </w:r>
    </w:p>
    <w:p w14:paraId="4FAF1DA2" w14:textId="77777777" w:rsidR="00D45B40" w:rsidRDefault="00D45B40"/>
    <w:p w14:paraId="7633BE01" w14:textId="77777777" w:rsidR="00D45B40" w:rsidRPr="00D45B40" w:rsidRDefault="00D45B40">
      <w:pPr>
        <w:rPr>
          <w:b/>
        </w:rPr>
      </w:pPr>
      <w:r w:rsidRPr="00D45B40">
        <w:rPr>
          <w:b/>
        </w:rPr>
        <w:t>1. Word Picture / Background</w:t>
      </w:r>
    </w:p>
    <w:p w14:paraId="25935283" w14:textId="77777777" w:rsidR="00D45B40" w:rsidRDefault="00D45B40">
      <w:r>
        <w:t>• The noun ger is derived from the root verb gur, which means "to sojourn, dwell for a time, or seek hospitality."</w:t>
      </w:r>
    </w:p>
    <w:p w14:paraId="42EEB97F" w14:textId="77777777" w:rsidR="00D45B40" w:rsidRDefault="00D45B40">
      <w:r>
        <w:t>• In the ancient Near East, a person's safety, legal rights, and survival depended entirely on their family and clan. Leaving one's homeland—whether due to war, famine, or economic hardship—rendered an individual highly vulnerable and virtually defenseless.</w:t>
      </w:r>
    </w:p>
    <w:p w14:paraId="7A18CC4E" w14:textId="77777777" w:rsidR="00D45B40" w:rsidRDefault="00D45B40">
      <w:r>
        <w:t>• While neighboring cultures offered few protections to foreigners, God commanded Israel to establish a revolutionary legal and social framework that protected the ger. Israel was repeatedly reminded of their own history to cultivate empathy: they were to love and protect the ger because they themselves had been gerim (plural) in the land of Egypt.</w:t>
      </w:r>
    </w:p>
    <w:p w14:paraId="7CA6E361" w14:textId="77777777" w:rsidR="00D45B40" w:rsidRDefault="00D45B40"/>
    <w:p w14:paraId="78A1486C" w14:textId="77777777" w:rsidR="00D45B40" w:rsidRPr="00D45B40" w:rsidRDefault="00D45B40">
      <w:pPr>
        <w:rPr>
          <w:b/>
        </w:rPr>
      </w:pPr>
      <w:r w:rsidRPr="00D45B40">
        <w:rPr>
          <w:b/>
        </w:rPr>
        <w:t>2. Meaning / Lexical Definition</w:t>
      </w:r>
    </w:p>
    <w:p w14:paraId="4A4A57B5" w14:textId="77777777" w:rsidR="00D45B40" w:rsidRDefault="00D45B40">
      <w:r>
        <w:t>• A resident alien, sojourner, or temporary dweller who integrates into a host community.</w:t>
      </w:r>
    </w:p>
    <w:p w14:paraId="4B581444" w14:textId="77777777" w:rsidR="00D45B40" w:rsidRDefault="00D45B40">
      <w:r>
        <w:t>• The term is lexically distinct from nokri or zar, which refer to a foreigner or stranger who remains an outsider with no allegiance to Israel's God, laws, or culture.</w:t>
      </w:r>
    </w:p>
    <w:p w14:paraId="3145EE36" w14:textId="77777777" w:rsidR="00D45B40" w:rsidRDefault="00D45B40">
      <w:r>
        <w:t>• The ger lived in the community, respected its customs, and was subject to many of its laws (such as Sabbath rest and dietary restrictions), while enjoying the benefits of Israel's gleaning laws and cities of refuge.</w:t>
      </w:r>
    </w:p>
    <w:p w14:paraId="6DFB9DBF" w14:textId="77777777" w:rsidR="00D45B40" w:rsidRDefault="00D45B40"/>
    <w:p w14:paraId="63DE226F" w14:textId="77777777" w:rsidR="00D45B40" w:rsidRPr="00D45B40" w:rsidRDefault="00D45B40">
      <w:pPr>
        <w:rPr>
          <w:b/>
        </w:rPr>
      </w:pPr>
      <w:r w:rsidRPr="00D45B40">
        <w:rPr>
          <w:b/>
        </w:rPr>
        <w:t>3. Usage and Word Pictures</w:t>
      </w:r>
    </w:p>
    <w:p w14:paraId="1D2C69FE" w14:textId="77777777" w:rsidR="00D45B40" w:rsidRDefault="00D45B40">
      <w:r>
        <w:t>• The concept of the ger is central to Israel's patriarchal identity. Abraham described himself as a ger when purchasing a burial plot for Sarah from the Hittites (Genesis 23:4).</w:t>
      </w:r>
    </w:p>
    <w:p w14:paraId="20084EA2" w14:textId="77777777" w:rsidR="00D45B40" w:rsidRDefault="00D45B40">
      <w:r>
        <w:t>• A profound theological word picture emerges in the holiness code, where God declares to Israel that the land belongs to Him, and they themselves are merely "strangers and sojourners (gerim)" with Him (Leviticus 25:23). This casts God as the ultimate landowner and host, and His covenant people as dependent guests who must mirror His hospitality.</w:t>
      </w:r>
    </w:p>
    <w:p w14:paraId="721531C6" w14:textId="77777777" w:rsidR="00D45B40" w:rsidRDefault="00D45B40">
      <w:r>
        <w:t>• David echoes this spiritual reality in his prayer, acknowledging that even as king, he and his people are sojourners before God, just as their fathers were (1 Chronicles 29:15).</w:t>
      </w:r>
    </w:p>
    <w:p w14:paraId="16695969" w14:textId="77777777" w:rsidR="00D45B40" w:rsidRDefault="00D45B40"/>
    <w:p w14:paraId="613835E4" w14:textId="77777777" w:rsidR="00D45B40" w:rsidRPr="00D45B40" w:rsidRDefault="00D45B40">
      <w:pPr>
        <w:rPr>
          <w:b/>
        </w:rPr>
      </w:pPr>
      <w:r w:rsidRPr="00D45B40">
        <w:rPr>
          <w:b/>
        </w:rPr>
        <w:t>4. Theological Implications</w:t>
      </w:r>
    </w:p>
    <w:p w14:paraId="5A56C644" w14:textId="77777777" w:rsidR="00D45B40" w:rsidRDefault="00D45B40">
      <w:r>
        <w:t>• The inclusion of the ger in the life of Israel highlights the missionary heart of God. God's redemptive plan was never exclusively tribal; it was always designed to bless all the nations of the earth through the seed of Abraham.</w:t>
      </w:r>
    </w:p>
    <w:p w14:paraId="1B76B4FF" w14:textId="77777777" w:rsidR="00D45B40" w:rsidRDefault="00D45B40">
      <w:r>
        <w:t>• By providing a clear mechanism for the resident alien to participate in the Passover, the law established that faith and obedience to God's covenant markers—not ethnic pedigree—were the true criteria for belonging to the people of God.</w:t>
      </w:r>
    </w:p>
    <w:p w14:paraId="0675C973" w14:textId="77777777" w:rsidR="00D45B40" w:rsidRDefault="00D45B40">
      <w:r>
        <w:t>• This Old Testament pattern serves as a direct precursor to the New Testament reality where Gentiles, who were once "strangers and foreigners," are brought near by the blood of Christ and made "fellow citizens with the saints and members of the household of God" (Ephesians 2:12–19).</w:t>
      </w:r>
    </w:p>
    <w:p w14:paraId="65A0AFA9" w14:textId="77777777" w:rsidR="00D45B40" w:rsidRDefault="00D45B40"/>
    <w:p w14:paraId="1E7340E1" w14:textId="77777777" w:rsidR="00D45B40" w:rsidRPr="00D45B40" w:rsidRDefault="00D45B40">
      <w:pPr>
        <w:rPr>
          <w:b/>
        </w:rPr>
      </w:pPr>
      <w:r w:rsidRPr="00D45B40">
        <w:rPr>
          <w:b/>
        </w:rPr>
        <w:t>5. Contextual Nuance in the Passage</w:t>
      </w:r>
    </w:p>
    <w:p w14:paraId="212065A9" w14:textId="77777777" w:rsidR="00D45B40" w:rsidRDefault="00D45B40">
      <w:r>
        <w:t>• In Exodus 12:48, the immediate context is the strict regulation of the Passover feast. The Lord specifies that "no outsider shall eat it" (Exodus 12:43).</w:t>
      </w:r>
    </w:p>
    <w:p w14:paraId="3199E7A6" w14:textId="77777777" w:rsidR="00D45B40" w:rsidRDefault="00D45B40">
      <w:r>
        <w:t>• However, a crucial exception is made for the ger who "dwells with you and wants to keep the Passover." If the male ger and his household undergo circumcision, he is no longer treated as an outsider. Instead, he becomes "as one who is born in the land."</w:t>
      </w:r>
    </w:p>
    <w:p w14:paraId="5DC41F3D" w14:textId="77777777" w:rsidR="00D45B40" w:rsidRDefault="00D45B40">
      <w:r>
        <w:t>• This indicates that while the ger enjoyed basic civil protections by simply living in Israel, access to the core covenant meal (Passover) required total commitment. Circumcision was the physical sign of entering Abraham's covenant. Thus, the passage establishes a beautiful tension: high standards for covenant holiness alongside an open, gracious door for full assimilation.</w:t>
      </w:r>
    </w:p>
    <w:p w14:paraId="43C24A76" w14:textId="77777777" w:rsidR="00D45B40" w:rsidRDefault="00D45B40"/>
    <w:p w14:paraId="57193960" w14:textId="77777777" w:rsidR="00D45B40" w:rsidRPr="00D45B40" w:rsidRDefault="00D45B40">
      <w:pPr>
        <w:rPr>
          <w:b/>
        </w:rPr>
      </w:pPr>
      <w:r w:rsidRPr="00D45B40">
        <w:rPr>
          <w:b/>
        </w:rPr>
        <w:t>6. Key Uses in Other Verses (NKJV)</w:t>
      </w:r>
    </w:p>
    <w:p w14:paraId="07704FD0" w14:textId="77777777" w:rsidR="00D45B40" w:rsidRDefault="00D45B40">
      <w:r>
        <w:t>• Exodus 22:21: "You shall neither mistreat a stranger nor oppress him, for you were strangers in the land of Egypt."</w:t>
      </w:r>
    </w:p>
    <w:p w14:paraId="2582D0C0" w14:textId="77777777" w:rsidR="00D45B40" w:rsidRDefault="00D45B40">
      <w:r>
        <w:t>• Leviticus 19:34: "The stranger who dwells among you shall be to you as one born among you, and you shall love him as yourself..."</w:t>
      </w:r>
    </w:p>
    <w:p w14:paraId="5A6FD013" w14:textId="77777777" w:rsidR="00D45B40" w:rsidRDefault="00D45B40">
      <w:r>
        <w:t>• Deuteronomy 10:19: "Therefore love the stranger, for you were strangers in the land of Egypt."</w:t>
      </w:r>
    </w:p>
    <w:p w14:paraId="190B2194" w14:textId="77777777" w:rsidR="00D45B40" w:rsidRDefault="00D45B40">
      <w:r>
        <w:t>• Psalm 146:9: "The Lord watches over the strangers; He relieves the fatherless and widow..."</w:t>
      </w:r>
    </w:p>
    <w:p w14:paraId="26416B2D" w14:textId="77777777" w:rsidR="00D45B40" w:rsidRDefault="00D45B40"/>
    <w:p w14:paraId="035AC6E8" w14:textId="77777777" w:rsidR="00D45B40" w:rsidRPr="00D45B40" w:rsidRDefault="00D45B40">
      <w:pPr>
        <w:rPr>
          <w:b/>
        </w:rPr>
      </w:pPr>
      <w:r w:rsidRPr="00D45B40">
        <w:rPr>
          <w:b/>
        </w:rPr>
        <w:t>7. Other Relevant Insights</w:t>
      </w:r>
    </w:p>
    <w:p w14:paraId="27F9B7CC" w14:textId="77777777" w:rsidR="00D45B40" w:rsidRDefault="00D45B40">
      <w:r>
        <w:t>• The legal protections afforded to the ger in the Mosaic Law were unprecedented in the ancient world. In typical ancient Near Eastern codes, foreigners had no standing before the law unless sponsored by a citizen. In Israel, the law of God itself was the sponsor and protector of the ger, placing them in the same protected category as widows and orphans.</w:t>
      </w:r>
    </w:p>
    <w:p w14:paraId="2F33A16E" w14:textId="77777777" w:rsidR="00D45B40" w:rsidRDefault="00D45B40"/>
    <w:p w14:paraId="1C422F5D" w14:textId="77777777" w:rsidR="00D45B40" w:rsidRPr="00D45B40" w:rsidRDefault="00D45B40">
      <w:pPr>
        <w:rPr>
          <w:b/>
        </w:rPr>
      </w:pPr>
      <w:r w:rsidRPr="00D45B40">
        <w:rPr>
          <w:b/>
        </w:rPr>
        <w:t>8. References</w:t>
      </w:r>
    </w:p>
    <w:p w14:paraId="05B6F8FB" w14:textId="77777777" w:rsidR="00D45B40" w:rsidRDefault="00D45B40">
      <w:r>
        <w:t>• Brown, Driver, and Briggs. Hebrew and English Lexicon of the Old Testament.</w:t>
      </w:r>
    </w:p>
    <w:p w14:paraId="3573CB5A" w14:textId="77777777" w:rsidR="00D45B40" w:rsidRDefault="00D45B40">
      <w:r>
        <w:t>• Harris, Archer, and Waltke. Theological Wordbook of the Old Testament.</w:t>
      </w:r>
    </w:p>
    <w:p w14:paraId="42774606" w14:textId="77777777" w:rsidR="00D45B40" w:rsidRDefault="00D45B40">
      <w:r>
        <w:t>• Koehler and Baumgartner. The Hebrew and Aramaic Lexicon of the Old Testament.</w:t>
      </w:r>
    </w:p>
    <w:p w14:paraId="777A4D10" w14:textId="74C63549" w:rsidR="004C5552" w:rsidRDefault="00D45B4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45B40"/>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B073"/>
  <w15:chartTrackingRefBased/>
  <w15:docId w15:val="{FDBCEFCA-20A5-49A6-B99A-79D34F762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5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5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40"/>
    <w:rPr>
      <w:rFonts w:eastAsiaTheme="majorEastAsia" w:cstheme="majorBidi"/>
      <w:color w:val="272727" w:themeColor="text1" w:themeTint="D8"/>
    </w:rPr>
  </w:style>
  <w:style w:type="paragraph" w:styleId="Title">
    <w:name w:val="Title"/>
    <w:basedOn w:val="Normal"/>
    <w:next w:val="Normal"/>
    <w:link w:val="TitleChar"/>
    <w:uiPriority w:val="10"/>
    <w:qFormat/>
    <w:rsid w:val="00D4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40"/>
    <w:pPr>
      <w:spacing w:before="160"/>
      <w:jc w:val="center"/>
    </w:pPr>
    <w:rPr>
      <w:i/>
      <w:iCs/>
      <w:color w:val="404040" w:themeColor="text1" w:themeTint="BF"/>
    </w:rPr>
  </w:style>
  <w:style w:type="character" w:customStyle="1" w:styleId="QuoteChar">
    <w:name w:val="Quote Char"/>
    <w:basedOn w:val="DefaultParagraphFont"/>
    <w:link w:val="Quote"/>
    <w:uiPriority w:val="29"/>
    <w:rsid w:val="00D45B40"/>
    <w:rPr>
      <w:i/>
      <w:iCs/>
      <w:color w:val="404040" w:themeColor="text1" w:themeTint="BF"/>
    </w:rPr>
  </w:style>
  <w:style w:type="paragraph" w:styleId="ListParagraph">
    <w:name w:val="List Paragraph"/>
    <w:basedOn w:val="Normal"/>
    <w:uiPriority w:val="34"/>
    <w:qFormat/>
    <w:rsid w:val="00D45B40"/>
    <w:pPr>
      <w:ind w:left="720"/>
      <w:contextualSpacing/>
    </w:pPr>
  </w:style>
  <w:style w:type="character" w:styleId="IntenseEmphasis">
    <w:name w:val="Intense Emphasis"/>
    <w:basedOn w:val="DefaultParagraphFont"/>
    <w:uiPriority w:val="21"/>
    <w:qFormat/>
    <w:rsid w:val="00D45B40"/>
    <w:rPr>
      <w:i/>
      <w:iCs/>
      <w:color w:val="2E74B5" w:themeColor="accent1" w:themeShade="BF"/>
    </w:rPr>
  </w:style>
  <w:style w:type="paragraph" w:styleId="IntenseQuote">
    <w:name w:val="Intense Quote"/>
    <w:basedOn w:val="Normal"/>
    <w:next w:val="Normal"/>
    <w:link w:val="IntenseQuoteChar"/>
    <w:uiPriority w:val="30"/>
    <w:qFormat/>
    <w:rsid w:val="00D45B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5B40"/>
    <w:rPr>
      <w:i/>
      <w:iCs/>
      <w:color w:val="2E74B5" w:themeColor="accent1" w:themeShade="BF"/>
    </w:rPr>
  </w:style>
  <w:style w:type="character" w:styleId="IntenseReference">
    <w:name w:val="Intense Reference"/>
    <w:basedOn w:val="DefaultParagraphFont"/>
    <w:uiPriority w:val="32"/>
    <w:qFormat/>
    <w:rsid w:val="00D45B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