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07F7" w14:textId="77777777" w:rsidR="00BD2C37" w:rsidRPr="00BD2C37" w:rsidRDefault="00BD2C37">
      <w:pPr>
        <w:rPr>
          <w:b/>
        </w:rPr>
      </w:pPr>
      <w:r w:rsidRPr="00BD2C37">
        <w:rPr>
          <w:b/>
        </w:rPr>
        <w:t>DOORPOSTS - ( mezuzah , Strong's H4201 )</w:t>
      </w:r>
    </w:p>
    <w:p w14:paraId="75641305" w14:textId="77777777" w:rsidR="00BD2C37" w:rsidRDefault="00BD2C37">
      <w:r w:rsidRPr="00BD2C37">
        <w:rPr>
          <w:b/>
        </w:rPr>
        <w:t>Summary:</w:t>
      </w:r>
    </w:p>
    <w:p w14:paraId="37C92265" w14:textId="77777777" w:rsidR="00BD2C37" w:rsidRDefault="00BD2C37">
      <w:r>
        <w:t>The Hebrew term mezuzah in Exodus 12:7 refers to the structural side-posts of a doorway, which became the canvas for the saving blood of the Passover lamb. Far from being merely architectural, these wooden or stone posts served as the focal point of divine deliverance, marking the boundary between judgment and salvation, and pointing forward to the ultimate redemption found in Christ.</w:t>
      </w:r>
    </w:p>
    <w:p w14:paraId="41E511AB" w14:textId="77777777" w:rsidR="00BD2C37" w:rsidRDefault="00BD2C37"/>
    <w:p w14:paraId="37DF3929" w14:textId="77777777" w:rsidR="00BD2C37" w:rsidRDefault="00BD2C37">
      <w:r w:rsidRPr="00BD2C37">
        <w:rPr>
          <w:b/>
        </w:rPr>
        <w:t>Full Study:</w:t>
      </w:r>
    </w:p>
    <w:p w14:paraId="73C3147C" w14:textId="77777777" w:rsidR="00BD2C37" w:rsidRDefault="00BD2C37"/>
    <w:p w14:paraId="7AEA0603" w14:textId="77777777" w:rsidR="00BD2C37" w:rsidRPr="00BD2C37" w:rsidRDefault="00BD2C37">
      <w:pPr>
        <w:rPr>
          <w:b/>
        </w:rPr>
      </w:pPr>
      <w:r w:rsidRPr="00BD2C37">
        <w:rPr>
          <w:b/>
        </w:rPr>
        <w:t>1. Word Picture / Background</w:t>
      </w:r>
    </w:p>
    <w:p w14:paraId="30CB9359" w14:textId="77777777" w:rsidR="00BD2C37" w:rsidRDefault="00BD2C37">
      <w:r>
        <w:t>• Rooted in a Semitic background denoting the posts framing a gateway or entrance.</w:t>
      </w:r>
    </w:p>
    <w:p w14:paraId="1F3F62B8" w14:textId="77777777" w:rsidR="00BD2C37" w:rsidRDefault="00BD2C37">
      <w:r>
        <w:t>• In ancient Near Eastern domestic architecture, the entrance was considered the vital threshold of a home, symbolizing protection, hospitality, and identity.</w:t>
      </w:r>
    </w:p>
    <w:p w14:paraId="7F6F0C27" w14:textId="77777777" w:rsidR="00BD2C37" w:rsidRDefault="00BD2C37">
      <w:r>
        <w:t>• During the original Passover, the doorposts and the lintel transformed from ordinary architectural supports into sacred markers of faith under the blood.</w:t>
      </w:r>
    </w:p>
    <w:p w14:paraId="38A8CDEF" w14:textId="77777777" w:rsidR="00BD2C37" w:rsidRDefault="00BD2C37"/>
    <w:p w14:paraId="44DAD7F4" w14:textId="77777777" w:rsidR="00BD2C37" w:rsidRPr="00BD2C37" w:rsidRDefault="00BD2C37">
      <w:pPr>
        <w:rPr>
          <w:b/>
        </w:rPr>
      </w:pPr>
      <w:r w:rsidRPr="00BD2C37">
        <w:rPr>
          <w:b/>
        </w:rPr>
        <w:t>2. Meaning / Lexical Definition</w:t>
      </w:r>
    </w:p>
    <w:p w14:paraId="5D031E58" w14:textId="77777777" w:rsidR="00BD2C37" w:rsidRDefault="00BD2C37">
      <w:r>
        <w:t>• Refers specifically to the side-posts (doorposts) of a door or gate.</w:t>
      </w:r>
    </w:p>
    <w:p w14:paraId="2F3C705C" w14:textId="77777777" w:rsidR="00BD2C37" w:rsidRDefault="00BD2C37">
      <w:r>
        <w:t>• Distinct from the mashqop (lintel, the horizontal beam across the top).</w:t>
      </w:r>
    </w:p>
    <w:p w14:paraId="2B4857F7" w14:textId="77777777" w:rsidR="00BD2C37" w:rsidRDefault="00BD2C37">
      <w:r>
        <w:t>• Denotes the vertical supports that bear the weight of the entrance structure.</w:t>
      </w:r>
    </w:p>
    <w:p w14:paraId="2C947310" w14:textId="77777777" w:rsidR="00BD2C37" w:rsidRDefault="00BD2C37"/>
    <w:p w14:paraId="16A4E731" w14:textId="77777777" w:rsidR="00BD2C37" w:rsidRPr="00BD2C37" w:rsidRDefault="00BD2C37">
      <w:pPr>
        <w:rPr>
          <w:b/>
        </w:rPr>
      </w:pPr>
      <w:r w:rsidRPr="00BD2C37">
        <w:rPr>
          <w:b/>
        </w:rPr>
        <w:t>3. Usage and Word Pictures</w:t>
      </w:r>
    </w:p>
    <w:p w14:paraId="2B103E50" w14:textId="77777777" w:rsidR="00BD2C37" w:rsidRDefault="00BD2C37">
      <w:r>
        <w:t>• Vividly associated with the application of hyssop-dipped blood, creating a crimson frame around the entrance of the Israelite homes.</w:t>
      </w:r>
    </w:p>
    <w:p w14:paraId="32DEB753" w14:textId="77777777" w:rsidR="00BD2C37" w:rsidRDefault="00BD2C37">
      <w:r>
        <w:t>• Serves as a visible sign separating the household marked by grace from the house facing the impending judgment of the death angel.</w:t>
      </w:r>
    </w:p>
    <w:p w14:paraId="00BFDB78" w14:textId="77777777" w:rsidR="00BD2C37" w:rsidRDefault="00BD2C37">
      <w:r>
        <w:t>• Later in Israelite history, the memory of this threshold protection became embedded in the practice of affixing Scripture (the mezuzah) to the doorposts of homes (Deuteronomy 6:9, 11:20), continually reminding residents that their homes belonged to God.</w:t>
      </w:r>
    </w:p>
    <w:p w14:paraId="23028FE8" w14:textId="77777777" w:rsidR="00BD2C37" w:rsidRDefault="00BD2C37"/>
    <w:p w14:paraId="18BB853F" w14:textId="77777777" w:rsidR="00BD2C37" w:rsidRPr="00BD2C37" w:rsidRDefault="00BD2C37">
      <w:pPr>
        <w:rPr>
          <w:b/>
        </w:rPr>
      </w:pPr>
      <w:r w:rsidRPr="00BD2C37">
        <w:rPr>
          <w:b/>
        </w:rPr>
        <w:t>4. Theological Implications</w:t>
      </w:r>
    </w:p>
    <w:p w14:paraId="1F4C68BE" w14:textId="77777777" w:rsidR="00BD2C37" w:rsidRDefault="00BD2C37">
      <w:r>
        <w:t>• The application of blood to the doorposts illustrates substitutionary atonement and the necessity of personal appropriation of saving grace.</w:t>
      </w:r>
    </w:p>
    <w:p w14:paraId="29BBC02A" w14:textId="77777777" w:rsidR="00BD2C37" w:rsidRDefault="00BD2C37">
      <w:r>
        <w:t>• Judgment passed over every house where the blood was visibly displayed, establishing the theological truth that redemption requires a designated, atoning covering.</w:t>
      </w:r>
    </w:p>
    <w:p w14:paraId="416F7FA3" w14:textId="77777777" w:rsidR="00BD2C37" w:rsidRDefault="00BD2C37">
      <w:r>
        <w:t>• Prefigures the cross of Christ, where the shedding of blood at a rugged wooden structure secures eternal deliverance from the bondage of sin and death.</w:t>
      </w:r>
    </w:p>
    <w:p w14:paraId="72602D88" w14:textId="77777777" w:rsidR="00BD2C37" w:rsidRDefault="00BD2C37"/>
    <w:p w14:paraId="4A4A5CBB" w14:textId="77777777" w:rsidR="00BD2C37" w:rsidRPr="00BD2C37" w:rsidRDefault="00BD2C37">
      <w:pPr>
        <w:rPr>
          <w:b/>
        </w:rPr>
      </w:pPr>
      <w:r w:rsidRPr="00BD2C37">
        <w:rPr>
          <w:b/>
        </w:rPr>
        <w:t>5. Contextual Nuance in the Passage</w:t>
      </w:r>
    </w:p>
    <w:p w14:paraId="03E4FCC9" w14:textId="77777777" w:rsidR="00BD2C37" w:rsidRDefault="00BD2C37">
      <w:r>
        <w:t>• In Exodus 12:7, the instruction is precise: the blood of the Passover lamb must be applied to both side doorposts and the upper lintel.</w:t>
      </w:r>
    </w:p>
    <w:p w14:paraId="7300FEB7" w14:textId="77777777" w:rsidR="00BD2C37" w:rsidRDefault="00BD2C37">
      <w:r>
        <w:t>• It required intentional, active obedience from the head of the household in the face of imminent judgment.</w:t>
      </w:r>
    </w:p>
    <w:p w14:paraId="5FB4D45C" w14:textId="77777777" w:rsidR="00BD2C37" w:rsidRDefault="00BD2C37">
      <w:r>
        <w:t>• It established a definitive threshold: inside meant life and safety under the blood; outside meant exposure to the wrath of God against Egypt.</w:t>
      </w:r>
    </w:p>
    <w:p w14:paraId="39019A92" w14:textId="77777777" w:rsidR="00BD2C37" w:rsidRDefault="00BD2C37"/>
    <w:p w14:paraId="7647BACD" w14:textId="77777777" w:rsidR="00BD2C37" w:rsidRPr="00BD2C37" w:rsidRDefault="00BD2C37">
      <w:pPr>
        <w:rPr>
          <w:b/>
        </w:rPr>
      </w:pPr>
      <w:r w:rsidRPr="00BD2C37">
        <w:rPr>
          <w:b/>
        </w:rPr>
        <w:t>6. Key Uses in Other Verses (NKJV)</w:t>
      </w:r>
    </w:p>
    <w:p w14:paraId="649AD584" w14:textId="77777777" w:rsidR="00BD2C37" w:rsidRDefault="00BD2C37">
      <w:r>
        <w:t>• Exodus 12:22 - Then you shall take a bunch of hyssop, dip it in the blood that is in the basin, and strike the lintel and the two doorposts with the blood that is in the basin. And none of you shall go out of the door of his house until morning.</w:t>
      </w:r>
    </w:p>
    <w:p w14:paraId="148D05EE" w14:textId="77777777" w:rsidR="00BD2C37" w:rsidRDefault="00BD2C37">
      <w:r>
        <w:t>• Exodus 12:23 - For the Lord will pass through to strike the Egyptians; and when He sees the blood on the lintel and on the two doorposts, the Lord will pass over the door and not allow the destroyer to come into your houses to strike you.</w:t>
      </w:r>
    </w:p>
    <w:p w14:paraId="7168F58C" w14:textId="77777777" w:rsidR="00BD2C37" w:rsidRDefault="00BD2C37">
      <w:r>
        <w:t>• Judges 16:3 - And Samson lay low till midnight; then he arose at midnight, took hold of the doors of the gate of the city, and the two posts [mezuzah], pulled them up, bar and all, put them on his shoulders, and carried them to the top of the hill that faces Hebron.</w:t>
      </w:r>
    </w:p>
    <w:p w14:paraId="532B2818" w14:textId="77777777" w:rsidR="00BD2C37" w:rsidRDefault="00BD2C37"/>
    <w:p w14:paraId="64189E9C" w14:textId="77777777" w:rsidR="00BD2C37" w:rsidRPr="00BD2C37" w:rsidRDefault="00BD2C37">
      <w:pPr>
        <w:rPr>
          <w:b/>
        </w:rPr>
      </w:pPr>
      <w:r w:rsidRPr="00BD2C37">
        <w:rPr>
          <w:b/>
        </w:rPr>
        <w:t>7. Other Relevant Insights</w:t>
      </w:r>
    </w:p>
    <w:p w14:paraId="7F01E632" w14:textId="77777777" w:rsidR="00BD2C37" w:rsidRDefault="00BD2C37">
      <w:r>
        <w:t>• The plural form used in Exodus emphasizes both sides of the entrance, ensuring complete and unreserved coverage of the gateway.</w:t>
      </w:r>
    </w:p>
    <w:p w14:paraId="769FC6A7" w14:textId="77777777" w:rsidR="00BD2C37" w:rsidRDefault="00BD2C37">
      <w:r>
        <w:t>• The act of striking the doorposts transformed an ordinary night in Egypt into the foundational memorial of redemption for the people of God.</w:t>
      </w:r>
    </w:p>
    <w:p w14:paraId="7085951E" w14:textId="77777777" w:rsidR="00BD2C37" w:rsidRDefault="00BD2C37"/>
    <w:p w14:paraId="294BD819" w14:textId="77777777" w:rsidR="00BD2C37" w:rsidRPr="00BD2C37" w:rsidRDefault="00BD2C37">
      <w:pPr>
        <w:rPr>
          <w:b/>
        </w:rPr>
      </w:pPr>
      <w:r w:rsidRPr="00BD2C37">
        <w:rPr>
          <w:b/>
        </w:rPr>
        <w:t>8. References</w:t>
      </w:r>
    </w:p>
    <w:p w14:paraId="763CC866" w14:textId="77777777" w:rsidR="00BD2C37" w:rsidRDefault="00BD2C37">
      <w:r>
        <w:t>• HALOT</w:t>
      </w:r>
    </w:p>
    <w:p w14:paraId="14D09FEF" w14:textId="77777777" w:rsidR="00BD2C37" w:rsidRDefault="00BD2C37">
      <w:r>
        <w:t>• TWOT</w:t>
      </w:r>
    </w:p>
    <w:p w14:paraId="31B61626" w14:textId="77777777" w:rsidR="00BD2C37" w:rsidRDefault="00BD2C37">
      <w:r>
        <w:t>• BDB</w:t>
      </w:r>
    </w:p>
    <w:p w14:paraId="10074425" w14:textId="77777777" w:rsidR="00BD2C37" w:rsidRDefault="00BD2C37">
      <w:r>
        <w:t>• New International Dictionary of Old Testament Theology and Exegesis (NIDOTTE)</w:t>
      </w:r>
    </w:p>
    <w:p w14:paraId="7599E014" w14:textId="56208534" w:rsidR="004C5552" w:rsidRDefault="00BD2C37">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C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2C37"/>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D35DC"/>
  <w15:chartTrackingRefBased/>
  <w15:docId w15:val="{EF775E52-D238-4CBE-BA1F-A28FC87F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2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2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C37"/>
    <w:rPr>
      <w:rFonts w:eastAsiaTheme="majorEastAsia" w:cstheme="majorBidi"/>
      <w:color w:val="272727" w:themeColor="text1" w:themeTint="D8"/>
    </w:rPr>
  </w:style>
  <w:style w:type="paragraph" w:styleId="Title">
    <w:name w:val="Title"/>
    <w:basedOn w:val="Normal"/>
    <w:next w:val="Normal"/>
    <w:link w:val="TitleChar"/>
    <w:uiPriority w:val="10"/>
    <w:qFormat/>
    <w:rsid w:val="00BD2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C37"/>
    <w:pPr>
      <w:spacing w:before="160"/>
      <w:jc w:val="center"/>
    </w:pPr>
    <w:rPr>
      <w:i/>
      <w:iCs/>
      <w:color w:val="404040" w:themeColor="text1" w:themeTint="BF"/>
    </w:rPr>
  </w:style>
  <w:style w:type="character" w:customStyle="1" w:styleId="QuoteChar">
    <w:name w:val="Quote Char"/>
    <w:basedOn w:val="DefaultParagraphFont"/>
    <w:link w:val="Quote"/>
    <w:uiPriority w:val="29"/>
    <w:rsid w:val="00BD2C37"/>
    <w:rPr>
      <w:i/>
      <w:iCs/>
      <w:color w:val="404040" w:themeColor="text1" w:themeTint="BF"/>
    </w:rPr>
  </w:style>
  <w:style w:type="paragraph" w:styleId="ListParagraph">
    <w:name w:val="List Paragraph"/>
    <w:basedOn w:val="Normal"/>
    <w:uiPriority w:val="34"/>
    <w:qFormat/>
    <w:rsid w:val="00BD2C37"/>
    <w:pPr>
      <w:ind w:left="720"/>
      <w:contextualSpacing/>
    </w:pPr>
  </w:style>
  <w:style w:type="character" w:styleId="IntenseEmphasis">
    <w:name w:val="Intense Emphasis"/>
    <w:basedOn w:val="DefaultParagraphFont"/>
    <w:uiPriority w:val="21"/>
    <w:qFormat/>
    <w:rsid w:val="00BD2C37"/>
    <w:rPr>
      <w:i/>
      <w:iCs/>
      <w:color w:val="2E74B5" w:themeColor="accent1" w:themeShade="BF"/>
    </w:rPr>
  </w:style>
  <w:style w:type="paragraph" w:styleId="IntenseQuote">
    <w:name w:val="Intense Quote"/>
    <w:basedOn w:val="Normal"/>
    <w:next w:val="Normal"/>
    <w:link w:val="IntenseQuoteChar"/>
    <w:uiPriority w:val="30"/>
    <w:qFormat/>
    <w:rsid w:val="00BD2C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2C37"/>
    <w:rPr>
      <w:i/>
      <w:iCs/>
      <w:color w:val="2E74B5" w:themeColor="accent1" w:themeShade="BF"/>
    </w:rPr>
  </w:style>
  <w:style w:type="character" w:styleId="IntenseReference">
    <w:name w:val="Intense Reference"/>
    <w:basedOn w:val="DefaultParagraphFont"/>
    <w:uiPriority w:val="32"/>
    <w:qFormat/>
    <w:rsid w:val="00BD2C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