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33D10" w14:textId="77777777" w:rsidR="00350803" w:rsidRPr="00350803" w:rsidRDefault="00350803">
      <w:pPr>
        <w:rPr>
          <w:b/>
        </w:rPr>
      </w:pPr>
      <w:r w:rsidRPr="00350803">
        <w:rPr>
          <w:b/>
        </w:rPr>
        <w:t>TIMBRELS - ( toph , Strong's H8596 )</w:t>
      </w:r>
    </w:p>
    <w:p w14:paraId="440F4B64" w14:textId="77777777" w:rsidR="00350803" w:rsidRDefault="00350803">
      <w:r w:rsidRPr="00350803">
        <w:rPr>
          <w:b/>
        </w:rPr>
        <w:t>Summary:</w:t>
      </w:r>
    </w:p>
    <w:p w14:paraId="127739D1" w14:textId="77777777" w:rsidR="00350803" w:rsidRDefault="00350803">
      <w:r>
        <w:t>The Hebrew word toph refers to a small hand drum or tambourine, closely associated in Scripture with expressive celebration, exuberant worship, and triumphant joy. In Exodus 15:20, Miriam and the women of Israel take up tophim to celebrate God's miraculous deliverance through the Red Sea, turning their rescue from slavery into an immediate, embodied act of musical praise.</w:t>
      </w:r>
    </w:p>
    <w:p w14:paraId="12238994" w14:textId="77777777" w:rsidR="00350803" w:rsidRDefault="00350803"/>
    <w:p w14:paraId="581BFFB4" w14:textId="77777777" w:rsidR="00350803" w:rsidRDefault="00350803">
      <w:r w:rsidRPr="00350803">
        <w:rPr>
          <w:b/>
        </w:rPr>
        <w:t>Full Study:</w:t>
      </w:r>
    </w:p>
    <w:p w14:paraId="7BB60BC2" w14:textId="77777777" w:rsidR="00350803" w:rsidRPr="00350803" w:rsidRDefault="00350803">
      <w:pPr>
        <w:rPr>
          <w:b/>
        </w:rPr>
      </w:pPr>
      <w:r w:rsidRPr="00350803">
        <w:rPr>
          <w:b/>
        </w:rPr>
        <w:t>1. Word Picture / Background</w:t>
      </w:r>
    </w:p>
    <w:p w14:paraId="63482873" w14:textId="77777777" w:rsidR="00350803" w:rsidRDefault="00350803">
      <w:r>
        <w:t>- In the ancient Near East, the toph was a percussion instrument consisting of a light wooden or metal hoop with animal skin stretched tightly across it, sometimes featuring metal jingles or bells attached to the frame.</w:t>
      </w:r>
    </w:p>
    <w:p w14:paraId="17139B63" w14:textId="77777777" w:rsidR="00350803" w:rsidRDefault="00350803">
      <w:r>
        <w:t>- It was played primarily by striking the membrane with the hand or fingers, creating a sharp, rhythmic beat that could easily lead a procession or accompany dancing.</w:t>
      </w:r>
    </w:p>
    <w:p w14:paraId="0ED46B0A" w14:textId="77777777" w:rsidR="00350803" w:rsidRDefault="00350803">
      <w:r>
        <w:t>- Archaeological finds and ancient Egyptian and Mesopotamian art frequently depict women playing frame drums during festive processions, religious rituals, and military victories.</w:t>
      </w:r>
    </w:p>
    <w:p w14:paraId="56E8F579" w14:textId="77777777" w:rsidR="00350803" w:rsidRDefault="00350803"/>
    <w:p w14:paraId="1557FA30" w14:textId="77777777" w:rsidR="00350803" w:rsidRPr="00350803" w:rsidRDefault="00350803">
      <w:pPr>
        <w:rPr>
          <w:b/>
        </w:rPr>
      </w:pPr>
      <w:r w:rsidRPr="00350803">
        <w:rPr>
          <w:b/>
        </w:rPr>
        <w:t>2. Meaning / Lexical Definition</w:t>
      </w:r>
    </w:p>
    <w:p w14:paraId="212EDD73" w14:textId="77777777" w:rsidR="00350803" w:rsidRDefault="00350803">
      <w:r>
        <w:t>- Toph translates to tambourine, timbrel, or hand drum.</w:t>
      </w:r>
    </w:p>
    <w:p w14:paraId="1CF23BDB" w14:textId="77777777" w:rsidR="00350803" w:rsidRDefault="00350803">
      <w:r>
        <w:t>- The lexical root points to the physical action of striking or beating, describing an instrument designed to be rhythmically beaten to mark time, elevate joy, and generate communal momentum in music.</w:t>
      </w:r>
    </w:p>
    <w:p w14:paraId="525C8033" w14:textId="77777777" w:rsidR="00350803" w:rsidRDefault="00350803"/>
    <w:p w14:paraId="6FE5BEE4" w14:textId="77777777" w:rsidR="00350803" w:rsidRPr="00350803" w:rsidRDefault="00350803">
      <w:pPr>
        <w:rPr>
          <w:b/>
        </w:rPr>
      </w:pPr>
      <w:r w:rsidRPr="00350803">
        <w:rPr>
          <w:b/>
        </w:rPr>
        <w:t>3. Usage and Word Pictures</w:t>
      </w:r>
    </w:p>
    <w:p w14:paraId="085D9E9B" w14:textId="77777777" w:rsidR="00350803" w:rsidRDefault="00350803">
      <w:r>
        <w:t>- The instrument is almost exclusively played by women in biblical narratives, frequently leading joyous public celebrations following national or military victories (e.g., Exodus 15:20; Judges 11:34; 1 Samuel 18:6).</w:t>
      </w:r>
    </w:p>
    <w:p w14:paraId="60057B3D" w14:textId="77777777" w:rsidR="00350803" w:rsidRDefault="00350803">
      <w:r>
        <w:t>- It symbolizes irrepressible joy and physical jubilation, where the body and rhythm unite to express what words alone cannot fully capture.</w:t>
      </w:r>
    </w:p>
    <w:p w14:paraId="47E1A9F9" w14:textId="77777777" w:rsidR="00350803" w:rsidRDefault="00350803">
      <w:r>
        <w:t>- The use of the toph transforms quiet relief into active, outward-facing exultation, moving the worshiper from a posture of passive rescue to one of participatory praise.</w:t>
      </w:r>
    </w:p>
    <w:p w14:paraId="123D88BB" w14:textId="77777777" w:rsidR="00350803" w:rsidRDefault="00350803"/>
    <w:p w14:paraId="3ACDD98F" w14:textId="77777777" w:rsidR="00350803" w:rsidRPr="00350803" w:rsidRDefault="00350803">
      <w:pPr>
        <w:rPr>
          <w:b/>
        </w:rPr>
      </w:pPr>
      <w:r w:rsidRPr="00350803">
        <w:rPr>
          <w:b/>
        </w:rPr>
        <w:t>4. Theological Implications</w:t>
      </w:r>
    </w:p>
    <w:p w14:paraId="7803EC5A" w14:textId="77777777" w:rsidR="00350803" w:rsidRDefault="00350803">
      <w:r>
        <w:t>- Praise in Scripture is often physical and holistic, engaging hands, feet, movement, and rhythm rather than existing merely as an internal sentiment.</w:t>
      </w:r>
    </w:p>
    <w:p w14:paraId="15C609E5" w14:textId="77777777" w:rsidR="00350803" w:rsidRDefault="00350803">
      <w:r>
        <w:t>- The celebration at the Red Sea establishes a foundational pattern: God’s mighty acts of redemption naturally prompt the church to respond with joyful, communal, and artistic worship.</w:t>
      </w:r>
    </w:p>
    <w:p w14:paraId="31CDEEC0" w14:textId="77777777" w:rsidR="00350803" w:rsidRDefault="00350803">
      <w:r>
        <w:t>- Deliverance from bondage produces a song; God's judgment of the enemy and salvation of His people evoke an overflow of musical gratitude.</w:t>
      </w:r>
    </w:p>
    <w:p w14:paraId="5A1A2C5B" w14:textId="77777777" w:rsidR="00350803" w:rsidRDefault="00350803"/>
    <w:p w14:paraId="4AC5789E" w14:textId="77777777" w:rsidR="00350803" w:rsidRPr="00350803" w:rsidRDefault="00350803">
      <w:pPr>
        <w:rPr>
          <w:b/>
        </w:rPr>
      </w:pPr>
      <w:r w:rsidRPr="00350803">
        <w:rPr>
          <w:b/>
        </w:rPr>
        <w:t>5. Contextual Nuance in the Passage</w:t>
      </w:r>
    </w:p>
    <w:p w14:paraId="34C7B656" w14:textId="77777777" w:rsidR="00350803" w:rsidRDefault="00350803">
      <w:r>
        <w:t>- In Exodus 15:20, Miriam leads the women with tophim immediately following the Song of Moses, injecting spontaneous movement and rhythm into the theological declarations of God's sovereignty.</w:t>
      </w:r>
    </w:p>
    <w:p w14:paraId="71924713" w14:textId="77777777" w:rsidR="00350803" w:rsidRDefault="00350803">
      <w:r>
        <w:t>- The physical act of striking the timbrel marks the definitive boundary between past Egyptian slavery and present covenant freedom.</w:t>
      </w:r>
    </w:p>
    <w:p w14:paraId="6B3109DE" w14:textId="77777777" w:rsidR="00350803" w:rsidRDefault="00350803"/>
    <w:p w14:paraId="69930C0C" w14:textId="77777777" w:rsidR="00350803" w:rsidRPr="00350803" w:rsidRDefault="00350803">
      <w:pPr>
        <w:rPr>
          <w:b/>
        </w:rPr>
      </w:pPr>
      <w:r w:rsidRPr="00350803">
        <w:rPr>
          <w:b/>
        </w:rPr>
        <w:t>6. Key Uses in Other Verses (NKJV)</w:t>
      </w:r>
    </w:p>
    <w:p w14:paraId="6076C528" w14:textId="77777777" w:rsidR="00350803" w:rsidRDefault="00350803">
      <w:r>
        <w:t>- Exodus 15:20: "Then Miriam the prophetess, the sister of Aaron, took the timbrel in her hand; and all the women went out after her with timbrels and with dances."</w:t>
      </w:r>
    </w:p>
    <w:p w14:paraId="48ACBA97" w14:textId="77777777" w:rsidR="00350803" w:rsidRDefault="00350803">
      <w:r>
        <w:t>- Judges 11:34: "When Jephthah came to his house at Mizpah, there was his daughter, coming out to meet him with timbrels and with dancing."</w:t>
      </w:r>
    </w:p>
    <w:p w14:paraId="7C215D34" w14:textId="77777777" w:rsidR="00350803" w:rsidRDefault="00350803">
      <w:r>
        <w:t>- 1 Samuel 18:6: "Now it happened, as they were coming home, when David was returning from the slaughter of the Philistine, that the women had come out of all cities of Israel, singing and dancing, to meet King Saul, with tambourines, with joy, and with musical instruments."</w:t>
      </w:r>
    </w:p>
    <w:p w14:paraId="00288AAA" w14:textId="77777777" w:rsidR="00350803" w:rsidRDefault="00350803">
      <w:r>
        <w:t>- Psalm 81:2: "Raise a song and strike the timbrel, the pleasant harp with the lute."</w:t>
      </w:r>
    </w:p>
    <w:p w14:paraId="23F9FDC3" w14:textId="77777777" w:rsidR="00350803" w:rsidRDefault="00350803"/>
    <w:p w14:paraId="44977428" w14:textId="77777777" w:rsidR="00350803" w:rsidRPr="00350803" w:rsidRDefault="00350803">
      <w:pPr>
        <w:rPr>
          <w:b/>
        </w:rPr>
      </w:pPr>
      <w:r w:rsidRPr="00350803">
        <w:rPr>
          <w:b/>
        </w:rPr>
        <w:t>7. Other Relevant Insights</w:t>
      </w:r>
    </w:p>
    <w:p w14:paraId="33EAAB5D" w14:textId="77777777" w:rsidR="00350803" w:rsidRDefault="00350803">
      <w:r>
        <w:t>- The pairing of timbrels with dancing (machol) in Exodus 15:20 and Judges 11:34 emphasizes that biblical worship was frequently kinetic, incorporating the entire physical frame into the communal expression of thanks to God.</w:t>
      </w:r>
    </w:p>
    <w:p w14:paraId="64C4810F" w14:textId="77777777" w:rsidR="00350803" w:rsidRDefault="00350803">
      <w:r>
        <w:t>- While the toph could be used in secular feasting or even associated with worldly revelry in prophetic critiques (e.g., Isaiah 5:12), its primary defining moments in historical narrative are tied to sacred moments of divine deliverance.</w:t>
      </w:r>
    </w:p>
    <w:p w14:paraId="1E741F2F" w14:textId="77777777" w:rsidR="00350803" w:rsidRDefault="00350803"/>
    <w:p w14:paraId="298AB69B" w14:textId="77777777" w:rsidR="00350803" w:rsidRPr="00350803" w:rsidRDefault="00350803">
      <w:pPr>
        <w:rPr>
          <w:b/>
        </w:rPr>
      </w:pPr>
      <w:r w:rsidRPr="00350803">
        <w:rPr>
          <w:b/>
        </w:rPr>
        <w:t>8. References</w:t>
      </w:r>
    </w:p>
    <w:p w14:paraId="1EFA352F" w14:textId="77777777" w:rsidR="00350803" w:rsidRDefault="00350803">
      <w:r>
        <w:t>- HALOT</w:t>
      </w:r>
    </w:p>
    <w:p w14:paraId="75E5B817" w14:textId="77777777" w:rsidR="00350803" w:rsidRDefault="00350803">
      <w:r>
        <w:t>- BDB</w:t>
      </w:r>
    </w:p>
    <w:p w14:paraId="522EEDDA" w14:textId="77777777" w:rsidR="00350803" w:rsidRDefault="00350803">
      <w:r>
        <w:t>- TWOT</w:t>
      </w:r>
    </w:p>
    <w:p w14:paraId="3CB05F39" w14:textId="77777777" w:rsidR="00350803" w:rsidRDefault="00350803">
      <w:r>
        <w:t>- NIDOTTE</w:t>
      </w:r>
    </w:p>
    <w:p w14:paraId="7B4261F2" w14:textId="5541F209" w:rsidR="004C5552" w:rsidRDefault="00350803">
      <w:r>
        <w:t>- Vine's Expository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8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0803"/>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04876"/>
  <w15:chartTrackingRefBased/>
  <w15:docId w15:val="{8901F805-FB07-42B1-8253-74A8C488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803"/>
    <w:rPr>
      <w:rFonts w:eastAsiaTheme="majorEastAsia" w:cstheme="majorBidi"/>
      <w:color w:val="272727" w:themeColor="text1" w:themeTint="D8"/>
    </w:rPr>
  </w:style>
  <w:style w:type="paragraph" w:styleId="Title">
    <w:name w:val="Title"/>
    <w:basedOn w:val="Normal"/>
    <w:next w:val="Normal"/>
    <w:link w:val="TitleChar"/>
    <w:uiPriority w:val="10"/>
    <w:qFormat/>
    <w:rsid w:val="0035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50803"/>
    <w:rPr>
      <w:i/>
      <w:iCs/>
      <w:color w:val="404040" w:themeColor="text1" w:themeTint="BF"/>
    </w:rPr>
  </w:style>
  <w:style w:type="paragraph" w:styleId="ListParagraph">
    <w:name w:val="List Paragraph"/>
    <w:basedOn w:val="Normal"/>
    <w:uiPriority w:val="34"/>
    <w:qFormat/>
    <w:rsid w:val="00350803"/>
    <w:pPr>
      <w:ind w:left="720"/>
      <w:contextualSpacing/>
    </w:pPr>
  </w:style>
  <w:style w:type="character" w:styleId="IntenseEmphasis">
    <w:name w:val="Intense Emphasis"/>
    <w:basedOn w:val="DefaultParagraphFont"/>
    <w:uiPriority w:val="21"/>
    <w:qFormat/>
    <w:rsid w:val="00350803"/>
    <w:rPr>
      <w:i/>
      <w:iCs/>
      <w:color w:val="2E74B5" w:themeColor="accent1" w:themeShade="BF"/>
    </w:rPr>
  </w:style>
  <w:style w:type="paragraph" w:styleId="IntenseQuote">
    <w:name w:val="Intense Quote"/>
    <w:basedOn w:val="Normal"/>
    <w:next w:val="Normal"/>
    <w:link w:val="IntenseQuoteChar"/>
    <w:uiPriority w:val="30"/>
    <w:qFormat/>
    <w:rsid w:val="003508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0803"/>
    <w:rPr>
      <w:i/>
      <w:iCs/>
      <w:color w:val="2E74B5" w:themeColor="accent1" w:themeShade="BF"/>
    </w:rPr>
  </w:style>
  <w:style w:type="character" w:styleId="IntenseReference">
    <w:name w:val="Intense Reference"/>
    <w:basedOn w:val="DefaultParagraphFont"/>
    <w:uiPriority w:val="32"/>
    <w:qFormat/>
    <w:rsid w:val="003508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