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9D21" w14:textId="77777777" w:rsidR="00C42C97" w:rsidRPr="00C42C97" w:rsidRDefault="00C42C97">
      <w:pPr>
        <w:rPr>
          <w:b/>
        </w:rPr>
      </w:pPr>
      <w:r w:rsidRPr="00C42C97">
        <w:rPr>
          <w:b/>
        </w:rPr>
        <w:t>GENERATIONS - ( dôr, Strong's H1755 )</w:t>
      </w:r>
    </w:p>
    <w:p w14:paraId="4EA4CD42" w14:textId="77777777" w:rsidR="00C42C97" w:rsidRDefault="00C42C97">
      <w:r w:rsidRPr="00C42C97">
        <w:rPr>
          <w:b/>
        </w:rPr>
        <w:t>Summary:</w:t>
      </w:r>
    </w:p>
    <w:p w14:paraId="236347C0" w14:textId="77777777" w:rsidR="00C42C97" w:rsidRDefault="00C42C97">
      <w:r>
        <w:t>The Hebrew word dôr refers to a generation, a period of time, or a group of people living during a specific era. In the context of Exodus 16:32, it signifies successive future generations of Israelites who did not personally experience the Exodus or the wilderness wanderings. By preserving a jar of manna, God provided a physical, historical testimony of His faithfulness and miraculous provision, ensuring that the memory of His saving acts would remain vivid and authoritative for all generations to come.</w:t>
      </w:r>
    </w:p>
    <w:p w14:paraId="32C4645F" w14:textId="77777777" w:rsidR="00C42C97" w:rsidRDefault="00C42C97"/>
    <w:p w14:paraId="334B5F43" w14:textId="77777777" w:rsidR="00C42C97" w:rsidRDefault="00C42C97">
      <w:r w:rsidRPr="00C42C97">
        <w:rPr>
          <w:b/>
        </w:rPr>
        <w:t>Full Study:</w:t>
      </w:r>
    </w:p>
    <w:p w14:paraId="6D926381" w14:textId="77777777" w:rsidR="00C42C97" w:rsidRDefault="00C42C97"/>
    <w:p w14:paraId="240047B9" w14:textId="77777777" w:rsidR="00C42C97" w:rsidRPr="00C42C97" w:rsidRDefault="00C42C97">
      <w:pPr>
        <w:rPr>
          <w:b/>
        </w:rPr>
      </w:pPr>
      <w:r w:rsidRPr="00C42C97">
        <w:rPr>
          <w:b/>
        </w:rPr>
        <w:t>1. Word Picture / Background</w:t>
      </w:r>
    </w:p>
    <w:p w14:paraId="39CC416D" w14:textId="77777777" w:rsidR="00C42C97" w:rsidRDefault="00C42C97">
      <w:r>
        <w:t>• dôr is derived from a root meaning to dwell, move in a circle, or go around, suggesting the cyclic nature of human life as one generation passes and another arrives. Historically, the nomadic lifestyle involved living in circles of tents (encampments), which may have contributed to the early imagery of a circle of life or a group of people bound together in a specific era. Over time, the word came to designate a period of time, an age, or the collective group of people coexisting during that period.</w:t>
      </w:r>
    </w:p>
    <w:p w14:paraId="6BF6B56E" w14:textId="77777777" w:rsidR="00C42C97" w:rsidRDefault="00C42C97"/>
    <w:p w14:paraId="729B3E0F" w14:textId="77777777" w:rsidR="00C42C97" w:rsidRPr="00C42C97" w:rsidRDefault="00C42C97">
      <w:pPr>
        <w:rPr>
          <w:b/>
        </w:rPr>
      </w:pPr>
      <w:r w:rsidRPr="00C42C97">
        <w:rPr>
          <w:b/>
        </w:rPr>
        <w:t>2. Meaning / Lexical Definition</w:t>
      </w:r>
    </w:p>
    <w:p w14:paraId="48A8C474" w14:textId="77777777" w:rsidR="00C42C97" w:rsidRDefault="00C42C97">
      <w:r>
        <w:t>• dôr primarily means "generation," "period," "age," or "dwelling."</w:t>
      </w:r>
    </w:p>
    <w:p w14:paraId="0D856B7D" w14:textId="77777777" w:rsidR="00C42C97" w:rsidRDefault="00C42C97">
      <w:r>
        <w:t>• It denotes the period of a human lifetime or the group of contemporaries living during that time.</w:t>
      </w:r>
    </w:p>
    <w:p w14:paraId="5279499D" w14:textId="77777777" w:rsidR="00C42C97" w:rsidRDefault="00C42C97">
      <w:r>
        <w:t>• It can refer to a class of people characterized by a specific quality (e.g., "a stubborn and rebellious generation").</w:t>
      </w:r>
    </w:p>
    <w:p w14:paraId="1209F683" w14:textId="77777777" w:rsidR="00C42C97" w:rsidRDefault="00C42C97">
      <w:r>
        <w:t>• In the plural (dôrô</w:t>
      </w:r>
      <w:r>
        <w:rPr>
          <w:rFonts w:ascii="Calibri" w:hAnsi="Calibri" w:cs="Calibri"/>
        </w:rPr>
        <w:t>ṯ</w:t>
      </w:r>
      <w:r>
        <w:t>), as in Exodus 16:32 (l'doroteichem, "for your generations"), it refers to successive, future generations, stretching indefinitely into the future.</w:t>
      </w:r>
    </w:p>
    <w:p w14:paraId="2342B757" w14:textId="77777777" w:rsidR="00C42C97" w:rsidRDefault="00C42C97"/>
    <w:p w14:paraId="51803D7A" w14:textId="77777777" w:rsidR="00C42C97" w:rsidRPr="00C42C97" w:rsidRDefault="00C42C97">
      <w:pPr>
        <w:rPr>
          <w:b/>
        </w:rPr>
      </w:pPr>
      <w:r w:rsidRPr="00C42C97">
        <w:rPr>
          <w:b/>
        </w:rPr>
        <w:t>3. Usage and Word Pictures</w:t>
      </w:r>
    </w:p>
    <w:p w14:paraId="3FC345FD" w14:textId="77777777" w:rsidR="00C42C97" w:rsidRDefault="00C42C97">
      <w:r>
        <w:t>• The Old Testament frequently uses dôr to mark the passage of time and the continuation of God’s covenantal relationships.</w:t>
      </w:r>
    </w:p>
    <w:p w14:paraId="4160DE7D" w14:textId="77777777" w:rsidR="00C42C97" w:rsidRDefault="00C42C97">
      <w:r>
        <w:t>• In poetic literature, the repetition "from generation to generation" (l'dor va-dor) emphasizes God's eternal nature, faithfulness, and reign, contrasting human transience with divine permanence.</w:t>
      </w:r>
    </w:p>
    <w:p w14:paraId="3C444A9C" w14:textId="77777777" w:rsidR="00C42C97" w:rsidRDefault="00C42C97">
      <w:r>
        <w:t>• The "circle" imagery associated with its root suggests a continuous, unbroken chain of human existence where each link is responsible for passing down the covenant obligations and testimony of God's deeds to the next.</w:t>
      </w:r>
    </w:p>
    <w:p w14:paraId="22EF1D6A" w14:textId="77777777" w:rsidR="00C42C97" w:rsidRDefault="00C42C97"/>
    <w:p w14:paraId="4A481DB6" w14:textId="77777777" w:rsidR="00C42C97" w:rsidRPr="00C42C97" w:rsidRDefault="00C42C97">
      <w:pPr>
        <w:rPr>
          <w:b/>
        </w:rPr>
      </w:pPr>
      <w:r w:rsidRPr="00C42C97">
        <w:rPr>
          <w:b/>
        </w:rPr>
        <w:t>4. Theological Implications</w:t>
      </w:r>
    </w:p>
    <w:p w14:paraId="4BA89D6B" w14:textId="77777777" w:rsidR="00C42C97" w:rsidRDefault="00C42C97">
      <w:r>
        <w:t>• God's relationship with humanity is historical and cumulative, not merely individualistic or momentary. Covenant promises and obligations extend across generations.</w:t>
      </w:r>
    </w:p>
    <w:p w14:paraId="1EABE498" w14:textId="77777777" w:rsidR="00C42C97" w:rsidRDefault="00C42C97">
      <w:r>
        <w:t>• The instruction to preserve the manna reveals God's desire for remembrance (zikkaron). True biblical faith is rooted in historical events; therefore, preserving the physical evidence of God's provision prevents future generations from falling into historical amnesia and unbelief.</w:t>
      </w:r>
    </w:p>
    <w:p w14:paraId="436D6313" w14:textId="77777777" w:rsidR="00C42C97" w:rsidRDefault="00C42C97">
      <w:r>
        <w:t>• God is the God of the past, present, and future. What He did for the Exodus generation was intended to shape the faith and identity of their descendants centuries later.</w:t>
      </w:r>
    </w:p>
    <w:p w14:paraId="567EB129" w14:textId="77777777" w:rsidR="00C42C97" w:rsidRDefault="00C42C97"/>
    <w:p w14:paraId="555F42E4" w14:textId="77777777" w:rsidR="00C42C97" w:rsidRPr="00C42C97" w:rsidRDefault="00C42C97">
      <w:pPr>
        <w:rPr>
          <w:b/>
        </w:rPr>
      </w:pPr>
      <w:r w:rsidRPr="00C42C97">
        <w:rPr>
          <w:b/>
        </w:rPr>
        <w:t>5. Contextual Nuance in the Passage</w:t>
      </w:r>
    </w:p>
    <w:p w14:paraId="42960C3B" w14:textId="77777777" w:rsidR="00C42C97" w:rsidRDefault="00C42C97">
      <w:r>
        <w:t>• In Exodus 16:32, the wilderness generation is commanded to fill an omer of manna and keep it "for your generations." This acts as a physical archive of God's supernatural care.</w:t>
      </w:r>
    </w:p>
    <w:p w14:paraId="11600063" w14:textId="77777777" w:rsidR="00C42C97" w:rsidRDefault="00C42C97">
      <w:r>
        <w:t>• Manna normally rotted overnight if kept (Exodus 16:20), but this specific portion was supernaturally preserved to remain fresh indefinitely. This perpetual freshness mirrored the enduring nature of the "generations" it was meant to instruct.</w:t>
      </w:r>
    </w:p>
    <w:p w14:paraId="2AFB9E59" w14:textId="77777777" w:rsidR="00C42C97" w:rsidRDefault="00C42C97">
      <w:r>
        <w:t>• It shifted the faith of future generations from abstract hearsay to concrete, tangible reality—they would "see the bread" their ancestors ate.</w:t>
      </w:r>
    </w:p>
    <w:p w14:paraId="11F681A5" w14:textId="77777777" w:rsidR="00C42C97" w:rsidRDefault="00C42C97"/>
    <w:p w14:paraId="38D84B18" w14:textId="77777777" w:rsidR="00C42C97" w:rsidRPr="00C42C97" w:rsidRDefault="00C42C97">
      <w:pPr>
        <w:rPr>
          <w:b/>
        </w:rPr>
      </w:pPr>
      <w:r w:rsidRPr="00C42C97">
        <w:rPr>
          <w:b/>
        </w:rPr>
        <w:t>6. Key Uses in Other Verses (NKJV)</w:t>
      </w:r>
    </w:p>
    <w:p w14:paraId="5CC59B61" w14:textId="77777777" w:rsidR="00C42C97" w:rsidRDefault="00C42C97">
      <w:r>
        <w:t>• Genesis 9:12 – "This is the sign of the covenant which I make between Me and you... for perpetual generations." (Establishes the covenant sign of the rainbow for all future descendants).</w:t>
      </w:r>
    </w:p>
    <w:p w14:paraId="23E6B2E7" w14:textId="77777777" w:rsidR="00C42C97" w:rsidRDefault="00C42C97">
      <w:r>
        <w:t>• Psalm 100:5 – "For the Lord is good; His mercy is everlasting, and His truth endures to all generations." (Highlights the enduring faithfulness of God across time).</w:t>
      </w:r>
    </w:p>
    <w:p w14:paraId="646A1983" w14:textId="77777777" w:rsidR="00C42C97" w:rsidRDefault="00C42C97">
      <w:r>
        <w:t>• Psalm 145:4 – "One generation shall praise Your works to another, and shall declare Your mighty acts." (Underscores the duty of transmitting the knowledge of God to descendants).</w:t>
      </w:r>
    </w:p>
    <w:p w14:paraId="5561AF60" w14:textId="77777777" w:rsidR="00C42C97" w:rsidRDefault="00C42C97">
      <w:r>
        <w:t>• Proverbs 30:11 – "There is a generation that curses its father, and does not bless its mother." (Uses dôr to describe a moral class or category of people).</w:t>
      </w:r>
    </w:p>
    <w:p w14:paraId="1F91C839" w14:textId="77777777" w:rsidR="00C42C97" w:rsidRDefault="00C42C97"/>
    <w:p w14:paraId="36BAFE16" w14:textId="77777777" w:rsidR="00C42C97" w:rsidRPr="00C42C97" w:rsidRDefault="00C42C97">
      <w:pPr>
        <w:rPr>
          <w:b/>
        </w:rPr>
      </w:pPr>
      <w:r w:rsidRPr="00C42C97">
        <w:rPr>
          <w:b/>
        </w:rPr>
        <w:t>7. Other Relevant Insights</w:t>
      </w:r>
    </w:p>
    <w:p w14:paraId="3EB2617E" w14:textId="77777777" w:rsidR="00C42C97" w:rsidRDefault="00C42C97">
      <w:r>
        <w:t>• In the ancient Near East, historical records were often lost or distorted. The biblical command to keep physical memorials (like the manna, the stones at the Jordan River, or the Passover feast) served as a highly reliable pedagogical tool to maintain national and spiritual identity.</w:t>
      </w:r>
    </w:p>
    <w:p w14:paraId="5C52EDE5" w14:textId="77777777" w:rsidR="00C42C97" w:rsidRDefault="00C42C97">
      <w:r>
        <w:t>• The jar of manna was later placed in the Ark of the Covenant alongside the Tablets of the Testimony and Aaron's rod (Hebrews 9:4), symbolizing God's provision, law, and priesthood remaining at the very center of Israel's communal life for generations.</w:t>
      </w:r>
    </w:p>
    <w:p w14:paraId="747D6333" w14:textId="77777777" w:rsidR="00C42C97" w:rsidRDefault="00C42C97"/>
    <w:p w14:paraId="095382C8" w14:textId="77777777" w:rsidR="00C42C97" w:rsidRPr="00C42C97" w:rsidRDefault="00C42C97">
      <w:pPr>
        <w:rPr>
          <w:b/>
        </w:rPr>
      </w:pPr>
      <w:r w:rsidRPr="00C42C97">
        <w:rPr>
          <w:b/>
        </w:rPr>
        <w:t>8. References</w:t>
      </w:r>
    </w:p>
    <w:p w14:paraId="63CCF1D2" w14:textId="77777777" w:rsidR="00C42C97" w:rsidRDefault="00C42C97">
      <w:r>
        <w:t>- Theological Wordbook of the Old Testament</w:t>
      </w:r>
    </w:p>
    <w:p w14:paraId="4865E3D9" w14:textId="77777777" w:rsidR="00C42C97" w:rsidRDefault="00C42C97">
      <w:r>
        <w:t>- Brown-Driver-Briggs Hebrew and English Lexicon</w:t>
      </w:r>
    </w:p>
    <w:p w14:paraId="07E2DE84" w14:textId="77777777" w:rsidR="00C42C97" w:rsidRDefault="00C42C97">
      <w:r>
        <w:t>- Hebrew and Aramaic Lexicon of the Old Testament</w:t>
      </w:r>
    </w:p>
    <w:p w14:paraId="257F29E6" w14:textId="77777777" w:rsidR="00C42C97" w:rsidRDefault="00C42C97">
      <w:r>
        <w:t>- Strong's Exhaustive Concordance of the Bible</w:t>
      </w:r>
    </w:p>
    <w:p w14:paraId="1A771C06" w14:textId="77777777" w:rsidR="00C42C97" w:rsidRDefault="00C42C97">
      <w:r>
        <w:t>- Vine's Expository Dictionary of Old and New Testament Words</w:t>
      </w:r>
    </w:p>
    <w:p w14:paraId="667ABFE2" w14:textId="77777777" w:rsidR="004C5552" w:rsidRDefault="00C42C97">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C9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2C97"/>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18FA"/>
  <w15:chartTrackingRefBased/>
  <w15:docId w15:val="{15FE9111-4CAF-48CB-A898-027D80EA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2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2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C97"/>
    <w:rPr>
      <w:rFonts w:eastAsiaTheme="majorEastAsia" w:cstheme="majorBidi"/>
      <w:color w:val="272727" w:themeColor="text1" w:themeTint="D8"/>
    </w:rPr>
  </w:style>
  <w:style w:type="paragraph" w:styleId="Title">
    <w:name w:val="Title"/>
    <w:basedOn w:val="Normal"/>
    <w:next w:val="Normal"/>
    <w:link w:val="TitleChar"/>
    <w:uiPriority w:val="10"/>
    <w:qFormat/>
    <w:rsid w:val="00C42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C97"/>
    <w:pPr>
      <w:spacing w:before="160"/>
      <w:jc w:val="center"/>
    </w:pPr>
    <w:rPr>
      <w:i/>
      <w:iCs/>
      <w:color w:val="404040" w:themeColor="text1" w:themeTint="BF"/>
    </w:rPr>
  </w:style>
  <w:style w:type="character" w:customStyle="1" w:styleId="QuoteChar">
    <w:name w:val="Quote Char"/>
    <w:basedOn w:val="DefaultParagraphFont"/>
    <w:link w:val="Quote"/>
    <w:uiPriority w:val="29"/>
    <w:rsid w:val="00C42C97"/>
    <w:rPr>
      <w:i/>
      <w:iCs/>
      <w:color w:val="404040" w:themeColor="text1" w:themeTint="BF"/>
    </w:rPr>
  </w:style>
  <w:style w:type="paragraph" w:styleId="ListParagraph">
    <w:name w:val="List Paragraph"/>
    <w:basedOn w:val="Normal"/>
    <w:uiPriority w:val="34"/>
    <w:qFormat/>
    <w:rsid w:val="00C42C97"/>
    <w:pPr>
      <w:ind w:left="720"/>
      <w:contextualSpacing/>
    </w:pPr>
  </w:style>
  <w:style w:type="character" w:styleId="IntenseEmphasis">
    <w:name w:val="Intense Emphasis"/>
    <w:basedOn w:val="DefaultParagraphFont"/>
    <w:uiPriority w:val="21"/>
    <w:qFormat/>
    <w:rsid w:val="00C42C97"/>
    <w:rPr>
      <w:i/>
      <w:iCs/>
      <w:color w:val="2E74B5" w:themeColor="accent1" w:themeShade="BF"/>
    </w:rPr>
  </w:style>
  <w:style w:type="paragraph" w:styleId="IntenseQuote">
    <w:name w:val="Intense Quote"/>
    <w:basedOn w:val="Normal"/>
    <w:next w:val="Normal"/>
    <w:link w:val="IntenseQuoteChar"/>
    <w:uiPriority w:val="30"/>
    <w:qFormat/>
    <w:rsid w:val="00C42C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2C97"/>
    <w:rPr>
      <w:i/>
      <w:iCs/>
      <w:color w:val="2E74B5" w:themeColor="accent1" w:themeShade="BF"/>
    </w:rPr>
  </w:style>
  <w:style w:type="character" w:styleId="IntenseReference">
    <w:name w:val="Intense Reference"/>
    <w:basedOn w:val="DefaultParagraphFont"/>
    <w:uiPriority w:val="32"/>
    <w:qFormat/>
    <w:rsid w:val="00C42C9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752</Words>
  <Characters>4292</Characters>
  <Application>Microsoft Office Word</Application>
  <DocSecurity>0</DocSecurity>
  <Lines>35</Lines>
  <Paragraphs>10</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2026-08-14T09:45:00Z</dcterms:created>
  <dcterms:modified xsi:type="dcterms:W3CDTF">2026-08-14T09:45:00Z</dcterms:modified>
</cp:coreProperties>
</file>