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2501" w14:textId="77777777" w:rsidR="005463EC" w:rsidRPr="005463EC" w:rsidRDefault="005463EC">
      <w:pPr>
        <w:rPr>
          <w:b/>
        </w:rPr>
      </w:pPr>
      <w:r w:rsidRPr="005463EC">
        <w:rPr>
          <w:b/>
        </w:rPr>
        <w:t>POT - ( tsintseneth , Strong's H6803 )</w:t>
      </w:r>
    </w:p>
    <w:p w14:paraId="5C3622D6" w14:textId="77777777" w:rsidR="005463EC" w:rsidRDefault="005463EC">
      <w:r w:rsidRPr="005463EC">
        <w:rPr>
          <w:b/>
        </w:rPr>
        <w:t>Summary:</w:t>
      </w:r>
    </w:p>
    <w:p w14:paraId="5D796556" w14:textId="77777777" w:rsidR="005463EC" w:rsidRDefault="005463EC">
      <w:r>
        <w:t>The Hebrew word tsintseneth refers specifically to a jar, urn, or pot used to preserve a portion of manna as a permanent memorial of God's supernatural provision. Occurring only once in the Hebrew Bible, this unique vessel represents preservation, sacred memory, and the miraculous suspension of natural decay in the presence of Yahweh.</w:t>
      </w:r>
    </w:p>
    <w:p w14:paraId="286C5E5B" w14:textId="77777777" w:rsidR="005463EC" w:rsidRDefault="005463EC"/>
    <w:p w14:paraId="42A9839D" w14:textId="77777777" w:rsidR="005463EC" w:rsidRDefault="005463EC">
      <w:r w:rsidRPr="005463EC">
        <w:rPr>
          <w:b/>
        </w:rPr>
        <w:t>Full Study:</w:t>
      </w:r>
    </w:p>
    <w:p w14:paraId="193D297D" w14:textId="77777777" w:rsidR="005463EC" w:rsidRDefault="005463EC"/>
    <w:p w14:paraId="2EB3C316" w14:textId="77777777" w:rsidR="005463EC" w:rsidRPr="005463EC" w:rsidRDefault="005463EC">
      <w:pPr>
        <w:rPr>
          <w:b/>
        </w:rPr>
      </w:pPr>
      <w:r w:rsidRPr="005463EC">
        <w:rPr>
          <w:b/>
        </w:rPr>
        <w:t>1. Word Picture / Background</w:t>
      </w:r>
    </w:p>
    <w:p w14:paraId="2FDD224F" w14:textId="77777777" w:rsidR="005463EC" w:rsidRDefault="005463EC">
      <w:r>
        <w:t>The exact etymology of tsintseneth is rare, but historical and linguistic connections suggest a vessel designed for preservation and security. Some linguistic paths connect the word to roots meaning to guard or shield, while others link it to ancient Egyptian words for a clay jar or basket. In the ancient Near East, storing covenant documents, treaties, or precious items in clay or metal jars was a common practice to protect them from environmental decay. Here, the word-picture is one of secure containment and safekeeping. While the daily manna would spoil within twenty-four hours if kept selfishly by the Israelites, the manna placed inside this specific tsintseneth was supernaturally preserved for centuries, untouched by decay.</w:t>
      </w:r>
    </w:p>
    <w:p w14:paraId="51CDDA7D" w14:textId="77777777" w:rsidR="005463EC" w:rsidRDefault="005463EC"/>
    <w:p w14:paraId="011A2A19" w14:textId="77777777" w:rsidR="005463EC" w:rsidRPr="005463EC" w:rsidRDefault="005463EC">
      <w:pPr>
        <w:rPr>
          <w:b/>
        </w:rPr>
      </w:pPr>
      <w:r w:rsidRPr="005463EC">
        <w:rPr>
          <w:b/>
        </w:rPr>
        <w:t>2. Meaning / Lexical Definition</w:t>
      </w:r>
    </w:p>
    <w:p w14:paraId="5D02145B" w14:textId="77777777" w:rsidR="005463EC" w:rsidRDefault="005463EC">
      <w:r>
        <w:t>The noun tsintseneth means a jar, pot, or urn. It refers to a deep, cylindrical container suitable for holding fine dry substances or liquids. In the context of Exodus 16:33, it denotes a specific vessel chosen to hold one omer (about two quarts) of manna. In the Greek translation of the Old Testament (the Septuagint), this word is rendered as stamnos, which refers to an earthen or golden jar used for storing wine or precious substances.</w:t>
      </w:r>
    </w:p>
    <w:p w14:paraId="603F8AD5" w14:textId="77777777" w:rsidR="005463EC" w:rsidRDefault="005463EC"/>
    <w:p w14:paraId="14A34FBF" w14:textId="77777777" w:rsidR="005463EC" w:rsidRPr="005463EC" w:rsidRDefault="005463EC">
      <w:pPr>
        <w:rPr>
          <w:b/>
        </w:rPr>
      </w:pPr>
      <w:r w:rsidRPr="005463EC">
        <w:rPr>
          <w:b/>
        </w:rPr>
        <w:t>3. Usage and Word Pictures</w:t>
      </w:r>
    </w:p>
    <w:p w14:paraId="4273A55B" w14:textId="77777777" w:rsidR="005463EC" w:rsidRDefault="005463EC">
      <w:r>
        <w:t xml:space="preserve">Because tsintseneth is a hapax legomenon (a word that occurs only once in the Hebrew Bible), its biblical usage is highly specialized. It is not used for ordinary cooking, boiling, or household chores, unlike common Hebrew words for pots or pans (such as sir or parur). It is reserved exclusively for this sacred, memorial purpose. The word picture is one of holy </w:t>
      </w:r>
      <w:r>
        <w:lastRenderedPageBreak/>
        <w:t>segregation—a vessel set apart from common utility to hold physical proof of heaven's bread.</w:t>
      </w:r>
    </w:p>
    <w:p w14:paraId="094A13F3" w14:textId="77777777" w:rsidR="005463EC" w:rsidRDefault="005463EC"/>
    <w:p w14:paraId="6CCD2550" w14:textId="77777777" w:rsidR="005463EC" w:rsidRPr="005463EC" w:rsidRDefault="005463EC">
      <w:pPr>
        <w:rPr>
          <w:b/>
        </w:rPr>
      </w:pPr>
      <w:r w:rsidRPr="005463EC">
        <w:rPr>
          <w:b/>
        </w:rPr>
        <w:t>4. Theological Implications</w:t>
      </w:r>
    </w:p>
    <w:p w14:paraId="2092ACB3" w14:textId="77777777" w:rsidR="005463EC" w:rsidRDefault="005463EC">
      <w:r>
        <w:t>The pot of manna carries profound theological significance:</w:t>
      </w:r>
    </w:p>
    <w:p w14:paraId="0CB11F58" w14:textId="77777777" w:rsidR="005463EC" w:rsidRDefault="005463EC">
      <w:r>
        <w:t>• Supernatural Preservation: Under normal circumstances, manna bred worms and smelled bad if kept overnight. But when placed in this pot and laid up before the Lord, it remained perfectly preserved. This demonstrates that God's presence suspends natural decay and sustains life eternally.</w:t>
      </w:r>
    </w:p>
    <w:p w14:paraId="74AF9ACA" w14:textId="77777777" w:rsidR="005463EC" w:rsidRDefault="005463EC">
      <w:r>
        <w:t>• A Covenantal Memorial: The pot was kept "before the Testimony" and eventually placed inside the Ark of the Covenant alongside Aaron's rod that budded and the tablets of the Law. It served as a permanent witness to future generations of God's provisional faithfulness during the wilderness wanderings.</w:t>
      </w:r>
    </w:p>
    <w:p w14:paraId="0F04634F" w14:textId="77777777" w:rsidR="005463EC" w:rsidRDefault="005463EC">
      <w:r>
        <w:t>• Christological Typology: Jesus identified Himself as the true bread from heaven. The pot holding the incorruptible manna foreshadows Christ's sinless, incorruptible humanity, preserved through death and resurrected to be our eternal sustenance.</w:t>
      </w:r>
    </w:p>
    <w:p w14:paraId="7C220B98" w14:textId="77777777" w:rsidR="005463EC" w:rsidRDefault="005463EC"/>
    <w:p w14:paraId="65C2207E" w14:textId="77777777" w:rsidR="005463EC" w:rsidRPr="005463EC" w:rsidRDefault="005463EC">
      <w:pPr>
        <w:rPr>
          <w:b/>
        </w:rPr>
      </w:pPr>
      <w:r w:rsidRPr="005463EC">
        <w:rPr>
          <w:b/>
        </w:rPr>
        <w:t>5. Contextual Nuance in the Passage</w:t>
      </w:r>
    </w:p>
    <w:p w14:paraId="269ED981" w14:textId="77777777" w:rsidR="005463EC" w:rsidRDefault="005463EC">
      <w:r>
        <w:t>In Exodus 16:33, Israel has just complained about hunger, and God has responded with the daily miracle of manna. Moses commands Aaron to take "a pot" to preserve an omer of it. The context highlights a transition: the temporary, daily provision of manna is being memorialized into a permanent, historical reality. The use of this specific word underlines the solemnity of the command. This was not a casual kitchen pot but a designated, dignified receptacle meant to stand before the presence of God.</w:t>
      </w:r>
    </w:p>
    <w:p w14:paraId="3894D05D" w14:textId="77777777" w:rsidR="005463EC" w:rsidRDefault="005463EC"/>
    <w:p w14:paraId="64ECC586" w14:textId="77777777" w:rsidR="005463EC" w:rsidRPr="005463EC" w:rsidRDefault="005463EC">
      <w:pPr>
        <w:rPr>
          <w:b/>
        </w:rPr>
      </w:pPr>
      <w:r w:rsidRPr="005463EC">
        <w:rPr>
          <w:b/>
        </w:rPr>
        <w:t>6. Key Uses in Other Verses (NKJV)</w:t>
      </w:r>
    </w:p>
    <w:p w14:paraId="629D0223" w14:textId="77777777" w:rsidR="005463EC" w:rsidRDefault="005463EC">
      <w:r>
        <w:t>Because tsintseneth is a hapax legomenon, there are no other direct Hebrew occurrences. However, the Greek equivalent stamnos appears in the New Testament reflecting this Old Testament passage:</w:t>
      </w:r>
    </w:p>
    <w:p w14:paraId="5AC29D01" w14:textId="77777777" w:rsidR="005463EC" w:rsidRDefault="005463EC">
      <w:r>
        <w:t>• Hebrews 9:4 — "...the ark of the covenant overlaid on all sides with gold, in which were the golden pot [Greek: stamnos] that had the manna, Aaron’s rod that budded, and the tablets of the covenant."</w:t>
      </w:r>
    </w:p>
    <w:p w14:paraId="71C01355" w14:textId="77777777" w:rsidR="005463EC" w:rsidRDefault="005463EC"/>
    <w:p w14:paraId="114A8000" w14:textId="77777777" w:rsidR="005463EC" w:rsidRPr="005463EC" w:rsidRDefault="005463EC">
      <w:pPr>
        <w:rPr>
          <w:b/>
        </w:rPr>
      </w:pPr>
      <w:r w:rsidRPr="005463EC">
        <w:rPr>
          <w:b/>
        </w:rPr>
        <w:t>7. Other Relevant Insights</w:t>
      </w:r>
    </w:p>
    <w:p w14:paraId="2B9D2F87" w14:textId="77777777" w:rsidR="005463EC" w:rsidRDefault="005463EC">
      <w:r>
        <w:t>The writer of Hebrews adds a detail not explicitly mentioned in the Hebrew text of Exodus: the pot was made of gold. While Exodus 16:33 does not specify the material, the Septuagint translators also described it as a "golden pot" (stamnon chrysoyn). Gold represents royalty, divinity, and purity, which matches the sacred nature of the Tabernacle's innermost sanctuary, the Holy of Holies, where the pot was ultimately kept.</w:t>
      </w:r>
    </w:p>
    <w:p w14:paraId="383132D4" w14:textId="77777777" w:rsidR="005463EC" w:rsidRDefault="005463EC"/>
    <w:p w14:paraId="58334D4C" w14:textId="77777777" w:rsidR="005463EC" w:rsidRPr="005463EC" w:rsidRDefault="005463EC">
      <w:pPr>
        <w:rPr>
          <w:b/>
        </w:rPr>
      </w:pPr>
      <w:r w:rsidRPr="005463EC">
        <w:rPr>
          <w:b/>
        </w:rPr>
        <w:t>8. References</w:t>
      </w:r>
    </w:p>
    <w:p w14:paraId="4CC1F096" w14:textId="77777777" w:rsidR="005463EC" w:rsidRDefault="005463EC">
      <w:r>
        <w:t>• Brown, Francis, S.R. Driver, and Charles A. Briggs. The Brown-Driver-Briggs Hebrew and English Lexicon.</w:t>
      </w:r>
    </w:p>
    <w:p w14:paraId="39329329" w14:textId="77777777" w:rsidR="005463EC" w:rsidRDefault="005463EC">
      <w:r>
        <w:t>• Koehler, Ludwig, Walter Baumgartner, and M.E.J. Richardson. The Hebrew and Aramaic Lexicon of the Old Testament.</w:t>
      </w:r>
    </w:p>
    <w:p w14:paraId="302D8164" w14:textId="77777777" w:rsidR="005463EC" w:rsidRDefault="005463EC">
      <w:r>
        <w:t>• Harris, R. Laird, Gleason L. Archer Jr., and Bruce K. Waltke. Theological Wordbook of the Old Testament.</w:t>
      </w:r>
    </w:p>
    <w:p w14:paraId="6E9256ED" w14:textId="77777777" w:rsidR="005463EC" w:rsidRDefault="005463EC">
      <w:r>
        <w:t>• Spicq, Ceslas. Theological Lexicon of the New Testament.</w:t>
      </w:r>
    </w:p>
    <w:p w14:paraId="280D5D3C" w14:textId="7F1DA539" w:rsidR="004C5552" w:rsidRDefault="005463EC">
      <w:r>
        <w:t>• The Septuagint Version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463EC"/>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B38A"/>
  <w15:chartTrackingRefBased/>
  <w15:docId w15:val="{B459D2F1-9600-43A8-814A-4334DE5D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6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3EC"/>
    <w:rPr>
      <w:rFonts w:eastAsiaTheme="majorEastAsia" w:cstheme="majorBidi"/>
      <w:color w:val="272727" w:themeColor="text1" w:themeTint="D8"/>
    </w:rPr>
  </w:style>
  <w:style w:type="paragraph" w:styleId="Title">
    <w:name w:val="Title"/>
    <w:basedOn w:val="Normal"/>
    <w:next w:val="Normal"/>
    <w:link w:val="TitleChar"/>
    <w:uiPriority w:val="10"/>
    <w:qFormat/>
    <w:rsid w:val="00546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3EC"/>
    <w:pPr>
      <w:spacing w:before="160"/>
      <w:jc w:val="center"/>
    </w:pPr>
    <w:rPr>
      <w:i/>
      <w:iCs/>
      <w:color w:val="404040" w:themeColor="text1" w:themeTint="BF"/>
    </w:rPr>
  </w:style>
  <w:style w:type="character" w:customStyle="1" w:styleId="QuoteChar">
    <w:name w:val="Quote Char"/>
    <w:basedOn w:val="DefaultParagraphFont"/>
    <w:link w:val="Quote"/>
    <w:uiPriority w:val="29"/>
    <w:rsid w:val="005463EC"/>
    <w:rPr>
      <w:i/>
      <w:iCs/>
      <w:color w:val="404040" w:themeColor="text1" w:themeTint="BF"/>
    </w:rPr>
  </w:style>
  <w:style w:type="paragraph" w:styleId="ListParagraph">
    <w:name w:val="List Paragraph"/>
    <w:basedOn w:val="Normal"/>
    <w:uiPriority w:val="34"/>
    <w:qFormat/>
    <w:rsid w:val="005463EC"/>
    <w:pPr>
      <w:ind w:left="720"/>
      <w:contextualSpacing/>
    </w:pPr>
  </w:style>
  <w:style w:type="character" w:styleId="IntenseEmphasis">
    <w:name w:val="Intense Emphasis"/>
    <w:basedOn w:val="DefaultParagraphFont"/>
    <w:uiPriority w:val="21"/>
    <w:qFormat/>
    <w:rsid w:val="005463EC"/>
    <w:rPr>
      <w:i/>
      <w:iCs/>
      <w:color w:val="2E74B5" w:themeColor="accent1" w:themeShade="BF"/>
    </w:rPr>
  </w:style>
  <w:style w:type="paragraph" w:styleId="IntenseQuote">
    <w:name w:val="Intense Quote"/>
    <w:basedOn w:val="Normal"/>
    <w:next w:val="Normal"/>
    <w:link w:val="IntenseQuoteChar"/>
    <w:uiPriority w:val="30"/>
    <w:qFormat/>
    <w:rsid w:val="005463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63EC"/>
    <w:rPr>
      <w:i/>
      <w:iCs/>
      <w:color w:val="2E74B5" w:themeColor="accent1" w:themeShade="BF"/>
    </w:rPr>
  </w:style>
  <w:style w:type="character" w:styleId="IntenseReference">
    <w:name w:val="Intense Reference"/>
    <w:basedOn w:val="DefaultParagraphFont"/>
    <w:uiPriority w:val="32"/>
    <w:qFormat/>
    <w:rsid w:val="005463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