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6E65" w14:textId="77777777" w:rsidR="005D1750" w:rsidRPr="005D1750" w:rsidRDefault="005D1750">
      <w:pPr>
        <w:rPr>
          <w:b/>
        </w:rPr>
      </w:pPr>
      <w:r w:rsidRPr="005D1750">
        <w:rPr>
          <w:b/>
        </w:rPr>
        <w:t>MANNA - ( mān , Strong's H4478 )</w:t>
      </w:r>
    </w:p>
    <w:p w14:paraId="47E0BEA5" w14:textId="77777777" w:rsidR="005D1750" w:rsidRDefault="005D1750">
      <w:r w:rsidRPr="005D1750">
        <w:rPr>
          <w:b/>
        </w:rPr>
        <w:t>Summary:</w:t>
      </w:r>
    </w:p>
    <w:p w14:paraId="3BFEDB59" w14:textId="77777777" w:rsidR="005D1750" w:rsidRDefault="005D1750">
      <w:r>
        <w:t>Manna represents the supernatural bread rained down from heaven by God to sustain the nation of Israel during their forty-year journey through the wilderness. Derived from the Hebrew question meaning "What is it?", the word serves as a perpetual monument to both human limitation and divine mystery. It illustrates God's daily, grace-based provision, His covenant faithfulness, and the requirement of daily obedience, ultimately pointing forward to Jesus Christ as the true Bread of Life.</w:t>
      </w:r>
    </w:p>
    <w:p w14:paraId="7B35928C" w14:textId="77777777" w:rsidR="005D1750" w:rsidRDefault="005D1750"/>
    <w:p w14:paraId="366C8C0D" w14:textId="77777777" w:rsidR="005D1750" w:rsidRDefault="005D1750">
      <w:r w:rsidRPr="005D1750">
        <w:rPr>
          <w:b/>
        </w:rPr>
        <w:t>Full Study:</w:t>
      </w:r>
    </w:p>
    <w:p w14:paraId="71ABAD26" w14:textId="77777777" w:rsidR="005D1750" w:rsidRDefault="005D1750"/>
    <w:p w14:paraId="4815657E" w14:textId="77777777" w:rsidR="005D1750" w:rsidRPr="005D1750" w:rsidRDefault="005D1750">
      <w:pPr>
        <w:rPr>
          <w:b/>
        </w:rPr>
      </w:pPr>
      <w:r w:rsidRPr="005D1750">
        <w:rPr>
          <w:b/>
        </w:rPr>
        <w:t>1. Word Picture / Background</w:t>
      </w:r>
    </w:p>
    <w:p w14:paraId="1CF3A0E6" w14:textId="77777777" w:rsidR="005D1750" w:rsidRDefault="005D1750">
      <w:r>
        <w:t xml:space="preserve">The name of this supernatural food stems from a moment of sheer bewilderment. When the Israelites first saw the fine, flaky substance covering the desert floor like frost, they asked one another, mān hû’, which translates to "What is it?" (Exodus 16:15). The Hebrew noun mān is derived from this ancient Semitic interrogative pronoun. Rather than giving the substance a highly descriptive botanical or agricultural name, the Israelites simply named it after their own question. Thus, every time they spoke of "manna" for forty years, they were reminded of the mysterious, supernatural nature of God's provision—a gift that defied human categorization and bypassed normal agricultural laws. </w:t>
      </w:r>
    </w:p>
    <w:p w14:paraId="76F2216F" w14:textId="77777777" w:rsidR="005D1750" w:rsidRDefault="005D1750"/>
    <w:p w14:paraId="3E12C184" w14:textId="77777777" w:rsidR="005D1750" w:rsidRPr="005D1750" w:rsidRDefault="005D1750">
      <w:pPr>
        <w:rPr>
          <w:b/>
        </w:rPr>
      </w:pPr>
      <w:r w:rsidRPr="005D1750">
        <w:rPr>
          <w:b/>
        </w:rPr>
        <w:t>2. Meaning / Lexical Definition</w:t>
      </w:r>
    </w:p>
    <w:p w14:paraId="52F9B1BB" w14:textId="77777777" w:rsidR="005D1750" w:rsidRDefault="005D1750">
      <w:r>
        <w:t>The Hebrew noun mān refers specifically to the unique, edible substance provided by God during the wilderness wanderings. It is defined as "manna," a physical foodstuff. Scripture describes its physical appearance as resembling white coriander seed or bdellium, with a texture that could be ground in mills, beaten in mortars, or baked in pans, and a sweet taste comparable to wafers made with honey or fresh oil (Exodus 16:31; Numbers 11:7-8). It was a literal, physical substance, yet its origin was entirely miraculous.</w:t>
      </w:r>
    </w:p>
    <w:p w14:paraId="1646C012" w14:textId="77777777" w:rsidR="005D1750" w:rsidRDefault="005D1750"/>
    <w:p w14:paraId="34272154" w14:textId="77777777" w:rsidR="005D1750" w:rsidRPr="005D1750" w:rsidRDefault="005D1750">
      <w:pPr>
        <w:rPr>
          <w:b/>
        </w:rPr>
      </w:pPr>
      <w:r w:rsidRPr="005D1750">
        <w:rPr>
          <w:b/>
        </w:rPr>
        <w:t>3. Usage and Word Pictures</w:t>
      </w:r>
    </w:p>
    <w:p w14:paraId="3055BEFD" w14:textId="77777777" w:rsidR="005D1750" w:rsidRDefault="005D1750">
      <w:r>
        <w:t>The Old Testament presents several evocative word pictures associated with the usage of mān:</w:t>
      </w:r>
    </w:p>
    <w:p w14:paraId="23431B0F" w14:textId="77777777" w:rsidR="005D1750" w:rsidRDefault="005D1750">
      <w:r>
        <w:t>• Bread from Heaven: God describes the manna as "bread from heaven" (Exodus 16:4). This establishes a vertical word picture; unlike ordinary food which comes up from the cursed ground through human sweat and toil, this food came down from the uncursed heavens as a pure gift.</w:t>
      </w:r>
    </w:p>
    <w:p w14:paraId="63A13C1A" w14:textId="77777777" w:rsidR="005D1750" w:rsidRDefault="005D1750">
      <w:r>
        <w:t>• The Falling Dew: Manna fell overnight and was discovered when the morning dew evaporated (Exodus 16:13-14). This associations portrays God’s grace as quiet, refreshing, and waiting for His people at the very start of each day.</w:t>
      </w:r>
    </w:p>
    <w:p w14:paraId="48A928DC" w14:textId="77777777" w:rsidR="005D1750" w:rsidRDefault="005D1750">
      <w:r>
        <w:t>• Daily Gathering: The instruction to gather only a daily portion (and a double portion for the Sabbath) created a cycle of daily dependence. It could not be hoarded or stored up, forming a physical picture of the petition, "Give us this day our daily bread."</w:t>
      </w:r>
    </w:p>
    <w:p w14:paraId="116C45A6" w14:textId="77777777" w:rsidR="005D1750" w:rsidRDefault="005D1750"/>
    <w:p w14:paraId="267BFCF7" w14:textId="77777777" w:rsidR="005D1750" w:rsidRPr="005D1750" w:rsidRDefault="005D1750">
      <w:pPr>
        <w:rPr>
          <w:b/>
        </w:rPr>
      </w:pPr>
      <w:r w:rsidRPr="005D1750">
        <w:rPr>
          <w:b/>
        </w:rPr>
        <w:t>4. Theological Implications</w:t>
      </w:r>
    </w:p>
    <w:p w14:paraId="23459ED3" w14:textId="77777777" w:rsidR="005D1750" w:rsidRDefault="005D1750">
      <w:r>
        <w:t>The theological weight of mān is profound:</w:t>
      </w:r>
    </w:p>
    <w:p w14:paraId="4659DFC4" w14:textId="77777777" w:rsidR="005D1750" w:rsidRDefault="005D1750">
      <w:r>
        <w:t>• The Test of Obedience: The gathering of manna was a test of covenant loyalty (Exodus 16:4). God used the daily routine of gathering to see whether Israel would walk in His law, specifically regarding the Sabbath rest.</w:t>
      </w:r>
    </w:p>
    <w:p w14:paraId="25299777" w14:textId="77777777" w:rsidR="005D1750" w:rsidRDefault="005D1750">
      <w:r>
        <w:t>• Humility and Divine Sufficiency: As Moses explains in Deuteronomy 8:3, God fed the people with manna to teach them that "man shall not live by bread alone; but man lives by every word that proceeds from the mouth of the Lord." Physical life is sustained by God's creative command, not merely by chemical nutrients.</w:t>
      </w:r>
    </w:p>
    <w:p w14:paraId="561319D0" w14:textId="77777777" w:rsidR="005D1750" w:rsidRDefault="005D1750">
      <w:r>
        <w:t>• Covenant Remembrance: A jar of manna was placed inside the Ark of the Covenant alongside the Tablets of the Testimony and Aaron’s rod (Exodus 16:32-34; Hebrews 9:4). This served as a physical witness to future generations of God's capacity to sustain His people in the most barren environments.</w:t>
      </w:r>
    </w:p>
    <w:p w14:paraId="4B9C0BC3" w14:textId="77777777" w:rsidR="005D1750" w:rsidRDefault="005D1750">
      <w:r>
        <w:t>• Christological Typology: In John 6, Jesus directly links Himself to the manna, declaring that while the fathers ate manna in the wilderness and died, He is the "True Bread from heaven" who gives eternal life to the world.</w:t>
      </w:r>
    </w:p>
    <w:p w14:paraId="7D82E01B" w14:textId="77777777" w:rsidR="005D1750" w:rsidRDefault="005D1750"/>
    <w:p w14:paraId="42090DC5" w14:textId="77777777" w:rsidR="005D1750" w:rsidRPr="005D1750" w:rsidRDefault="005D1750">
      <w:pPr>
        <w:rPr>
          <w:b/>
        </w:rPr>
      </w:pPr>
      <w:r w:rsidRPr="005D1750">
        <w:rPr>
          <w:b/>
        </w:rPr>
        <w:t>5. Contextual Nuance in the Passage</w:t>
      </w:r>
    </w:p>
    <w:p w14:paraId="5A15E186" w14:textId="77777777" w:rsidR="005D1750" w:rsidRDefault="005D1750">
      <w:r>
        <w:t xml:space="preserve">In Exodus 16:35, the text emphasizes the temporal boundaries of this miracle: "And the children of Israel ate manna forty years, until they came to an inhabited land; they ate manna until they came to the border of the land of Canaan." </w:t>
      </w:r>
    </w:p>
    <w:p w14:paraId="4E8B4B06" w14:textId="77777777" w:rsidR="005D1750" w:rsidRDefault="005D1750">
      <w:r>
        <w:t>The contextual nuance here is the absolute reliability and precise timing of God's special providence. The manna did not fail for a single day during those four decades of faithlessness and wandering. Yet, the miracle was not meant to be permanent. God provides extraordinary miracles for the barren wilderness, but He expects His people to transition to ordinary stewardship and the fruit of the land once they enter the Promised Land. The cessation of the manna (recorded in Joshua 5:12) demonstrates that God’s methods may change, but His faithfulness remains constant.</w:t>
      </w:r>
    </w:p>
    <w:p w14:paraId="6FA27BFD" w14:textId="77777777" w:rsidR="005D1750" w:rsidRDefault="005D1750"/>
    <w:p w14:paraId="672FF303" w14:textId="77777777" w:rsidR="005D1750" w:rsidRPr="005D1750" w:rsidRDefault="005D1750">
      <w:pPr>
        <w:rPr>
          <w:b/>
        </w:rPr>
      </w:pPr>
      <w:r w:rsidRPr="005D1750">
        <w:rPr>
          <w:b/>
        </w:rPr>
        <w:t>6. Key Uses in Other Verses (NKJV)</w:t>
      </w:r>
    </w:p>
    <w:p w14:paraId="48F2C6FA" w14:textId="77777777" w:rsidR="005D1750" w:rsidRDefault="005D1750">
      <w:r>
        <w:t>• Exodus 16:31 - "And the house of Israel called its name Manna. And it was like white coriander seed, and the taste of it was like wafers made with honey."</w:t>
      </w:r>
    </w:p>
    <w:p w14:paraId="33579134" w14:textId="77777777" w:rsidR="005D1750" w:rsidRDefault="005D1750">
      <w:r>
        <w:t>• Numbers 11:7 - "Now the manna was like coriander seed, and its color like the color of bdellium."</w:t>
      </w:r>
    </w:p>
    <w:p w14:paraId="684DB778" w14:textId="77777777" w:rsidR="005D1750" w:rsidRDefault="005D1750">
      <w:r>
        <w:t>• Deuteronomy 8:3 - "So He humbled you, allowed you to hunger, and fed you with manna which you did not know nor did your fathers know, that He might make you know that man shall not live by bread alone..."</w:t>
      </w:r>
    </w:p>
    <w:p w14:paraId="337290E4" w14:textId="77777777" w:rsidR="005D1750" w:rsidRDefault="005D1750">
      <w:r>
        <w:t>• Joshua 5:12 - "Then the manna ceased on the day after they had eaten the produce of the land; and the children of Israel no longer had manna, but they ate the food of the land of Canaan that year."</w:t>
      </w:r>
    </w:p>
    <w:p w14:paraId="5DD40447" w14:textId="77777777" w:rsidR="005D1750" w:rsidRDefault="005D1750">
      <w:r>
        <w:t>• Nehemiah 9:20 - "You also gave Your good Spirit to instruct them, and did not withhold Your manna from their mouth, and gave them water for their thirst."</w:t>
      </w:r>
    </w:p>
    <w:p w14:paraId="6BE901F9" w14:textId="77777777" w:rsidR="005D1750" w:rsidRDefault="005D1750">
      <w:r>
        <w:t>• Psalm 78:24 - "Had rained down manna on them to eat, and given them of the bread of heaven."</w:t>
      </w:r>
    </w:p>
    <w:p w14:paraId="71CE2BCB" w14:textId="77777777" w:rsidR="005D1750" w:rsidRDefault="005D1750"/>
    <w:p w14:paraId="0F58968C" w14:textId="77777777" w:rsidR="005D1750" w:rsidRPr="005D1750" w:rsidRDefault="005D1750">
      <w:pPr>
        <w:rPr>
          <w:b/>
        </w:rPr>
      </w:pPr>
      <w:r w:rsidRPr="005D1750">
        <w:rPr>
          <w:b/>
        </w:rPr>
        <w:t>7. Other Relevant Insights</w:t>
      </w:r>
    </w:p>
    <w:p w14:paraId="2661A3C0" w14:textId="77777777" w:rsidR="005D1750" w:rsidRDefault="005D1750">
      <w:r>
        <w:t>• The Melting Factor: Exodus 16:21 notes that "when the sun became hot, it melted." This detail contains a practical spiritual lesson on seeking God early. To receive the provision God had laid out, the Israelites had to rise early and prioritize gathering before the heat of the day destroyed the opportunity.</w:t>
      </w:r>
    </w:p>
    <w:p w14:paraId="64D7E62E" w14:textId="77777777" w:rsidR="005D1750" w:rsidRDefault="005D1750">
      <w:r>
        <w:t>• The New Testament Connection: In Revelation 2:17, Christ promises to give the overcomer "hidden manna." This draws on the imagery of the manna hidden in the Ark, representing the intimate, exclusive, and eternal spiritual nourishment that Christ reserves for His faithful people.</w:t>
      </w:r>
    </w:p>
    <w:p w14:paraId="0EF2AAF2" w14:textId="77777777" w:rsidR="005D1750" w:rsidRDefault="005D1750"/>
    <w:p w14:paraId="7B50FAB8" w14:textId="77777777" w:rsidR="005D1750" w:rsidRPr="005D1750" w:rsidRDefault="005D1750">
      <w:pPr>
        <w:rPr>
          <w:b/>
        </w:rPr>
      </w:pPr>
      <w:r w:rsidRPr="005D1750">
        <w:rPr>
          <w:b/>
        </w:rPr>
        <w:t>8. References</w:t>
      </w:r>
    </w:p>
    <w:p w14:paraId="206B079C" w14:textId="77777777" w:rsidR="005D1750" w:rsidRDefault="005D1750">
      <w:r>
        <w:t>• Brown, Driver, Briggs Hebrew and English Lexicon</w:t>
      </w:r>
    </w:p>
    <w:p w14:paraId="03030A5C" w14:textId="77777777" w:rsidR="005D1750" w:rsidRDefault="005D1750">
      <w:r>
        <w:t>• Hebrew Aramaic Lexicon of the Old Testament</w:t>
      </w:r>
    </w:p>
    <w:p w14:paraId="0C0460A8" w14:textId="77777777" w:rsidR="005D1750" w:rsidRDefault="005D1750">
      <w:r>
        <w:t>• Theological Wordbook of the Old Testament</w:t>
      </w:r>
    </w:p>
    <w:p w14:paraId="6468EAC1" w14:textId="77777777" w:rsidR="005D1750" w:rsidRDefault="005D1750">
      <w:r>
        <w:t>• Theological Dictionary of the New Testament</w:t>
      </w:r>
    </w:p>
    <w:p w14:paraId="050E1814" w14:textId="2802E015" w:rsidR="004C5552" w:rsidRDefault="005D1750">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1750"/>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8B10"/>
  <w15:chartTrackingRefBased/>
  <w15:docId w15:val="{6A0FED69-51D3-4F2E-AC2C-9F781929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1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1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750"/>
    <w:rPr>
      <w:rFonts w:eastAsiaTheme="majorEastAsia" w:cstheme="majorBidi"/>
      <w:color w:val="272727" w:themeColor="text1" w:themeTint="D8"/>
    </w:rPr>
  </w:style>
  <w:style w:type="paragraph" w:styleId="Title">
    <w:name w:val="Title"/>
    <w:basedOn w:val="Normal"/>
    <w:next w:val="Normal"/>
    <w:link w:val="TitleChar"/>
    <w:uiPriority w:val="10"/>
    <w:qFormat/>
    <w:rsid w:val="005D1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750"/>
    <w:pPr>
      <w:spacing w:before="160"/>
      <w:jc w:val="center"/>
    </w:pPr>
    <w:rPr>
      <w:i/>
      <w:iCs/>
      <w:color w:val="404040" w:themeColor="text1" w:themeTint="BF"/>
    </w:rPr>
  </w:style>
  <w:style w:type="character" w:customStyle="1" w:styleId="QuoteChar">
    <w:name w:val="Quote Char"/>
    <w:basedOn w:val="DefaultParagraphFont"/>
    <w:link w:val="Quote"/>
    <w:uiPriority w:val="29"/>
    <w:rsid w:val="005D1750"/>
    <w:rPr>
      <w:i/>
      <w:iCs/>
      <w:color w:val="404040" w:themeColor="text1" w:themeTint="BF"/>
    </w:rPr>
  </w:style>
  <w:style w:type="paragraph" w:styleId="ListParagraph">
    <w:name w:val="List Paragraph"/>
    <w:basedOn w:val="Normal"/>
    <w:uiPriority w:val="34"/>
    <w:qFormat/>
    <w:rsid w:val="005D1750"/>
    <w:pPr>
      <w:ind w:left="720"/>
      <w:contextualSpacing/>
    </w:pPr>
  </w:style>
  <w:style w:type="character" w:styleId="IntenseEmphasis">
    <w:name w:val="Intense Emphasis"/>
    <w:basedOn w:val="DefaultParagraphFont"/>
    <w:uiPriority w:val="21"/>
    <w:qFormat/>
    <w:rsid w:val="005D1750"/>
    <w:rPr>
      <w:i/>
      <w:iCs/>
      <w:color w:val="2E74B5" w:themeColor="accent1" w:themeShade="BF"/>
    </w:rPr>
  </w:style>
  <w:style w:type="paragraph" w:styleId="IntenseQuote">
    <w:name w:val="Intense Quote"/>
    <w:basedOn w:val="Normal"/>
    <w:next w:val="Normal"/>
    <w:link w:val="IntenseQuoteChar"/>
    <w:uiPriority w:val="30"/>
    <w:qFormat/>
    <w:rsid w:val="005D17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1750"/>
    <w:rPr>
      <w:i/>
      <w:iCs/>
      <w:color w:val="2E74B5" w:themeColor="accent1" w:themeShade="BF"/>
    </w:rPr>
  </w:style>
  <w:style w:type="character" w:styleId="IntenseReference">
    <w:name w:val="Intense Reference"/>
    <w:basedOn w:val="DefaultParagraphFont"/>
    <w:uiPriority w:val="32"/>
    <w:qFormat/>
    <w:rsid w:val="005D17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