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9F720" w14:textId="77777777" w:rsidR="007221D2" w:rsidRPr="007221D2" w:rsidRDefault="007221D2">
      <w:pPr>
        <w:rPr>
          <w:b/>
        </w:rPr>
      </w:pPr>
      <w:r w:rsidRPr="007221D2">
        <w:rPr>
          <w:b/>
        </w:rPr>
        <w:t>LAW - ( torah , Strong's H8451 )</w:t>
      </w:r>
    </w:p>
    <w:p w14:paraId="19447B69" w14:textId="77777777" w:rsidR="007221D2" w:rsidRDefault="007221D2">
      <w:r w:rsidRPr="007221D2">
        <w:rPr>
          <w:b/>
        </w:rPr>
        <w:t>Summary:</w:t>
      </w:r>
    </w:p>
    <w:p w14:paraId="0F384AE7" w14:textId="77777777" w:rsidR="007221D2" w:rsidRDefault="007221D2">
      <w:r>
        <w:t>The Hebrew word torah is commonly translated as "law," but its core meaning is far richer, signifying "instruction," "teaching," or "direction." Rather than a cold set of rigid regulations, torah represents a father's loving guidance pointing his children in the right direction. In Exodus 16:4, God uses the daily provision of manna to test whether Israel will trust and walk in His torah (instruction) even before the formal giving of the Ten Commandments at Mount Sinai, highlighting that God's law is fundamentally about daily trust, obedience, and relationship.</w:t>
      </w:r>
    </w:p>
    <w:p w14:paraId="39FB31CB" w14:textId="77777777" w:rsidR="007221D2" w:rsidRDefault="007221D2"/>
    <w:p w14:paraId="6EB95393" w14:textId="77777777" w:rsidR="007221D2" w:rsidRDefault="007221D2">
      <w:r w:rsidRPr="007221D2">
        <w:rPr>
          <w:b/>
        </w:rPr>
        <w:t>Full Study:</w:t>
      </w:r>
    </w:p>
    <w:p w14:paraId="57CACC66" w14:textId="77777777" w:rsidR="007221D2" w:rsidRDefault="007221D2"/>
    <w:p w14:paraId="00AD964D" w14:textId="77777777" w:rsidR="007221D2" w:rsidRPr="007221D2" w:rsidRDefault="007221D2">
      <w:pPr>
        <w:rPr>
          <w:b/>
        </w:rPr>
      </w:pPr>
      <w:r w:rsidRPr="007221D2">
        <w:rPr>
          <w:b/>
        </w:rPr>
        <w:t>1. Word Picture / Background</w:t>
      </w:r>
    </w:p>
    <w:p w14:paraId="6725C793" w14:textId="77777777" w:rsidR="007221D2" w:rsidRDefault="007221D2">
      <w:r>
        <w:t>The noun torah is derived from the verbal root yarah, which means "to throw," "to shoot an arrow," or "to point out and direct." The underlying image is that of an archer aiming at a target or a guide pointing out the correct path to travel. Therefore, torah is the divine pointing of the way. It is God's parental instruction directing His children toward the target of a holy, fruitful, and blessed life, keeping them from missing the mark (which is the basic biblical concept of sin).</w:t>
      </w:r>
    </w:p>
    <w:p w14:paraId="7F62A52E" w14:textId="77777777" w:rsidR="007221D2" w:rsidRDefault="007221D2"/>
    <w:p w14:paraId="59A8969E" w14:textId="77777777" w:rsidR="007221D2" w:rsidRPr="007221D2" w:rsidRDefault="007221D2">
      <w:pPr>
        <w:rPr>
          <w:b/>
        </w:rPr>
      </w:pPr>
      <w:r w:rsidRPr="007221D2">
        <w:rPr>
          <w:b/>
        </w:rPr>
        <w:t>2. Meaning / Lexical Definition</w:t>
      </w:r>
    </w:p>
    <w:p w14:paraId="2A4CDDA7" w14:textId="77777777" w:rsidR="007221D2" w:rsidRDefault="007221D2">
      <w:r>
        <w:t>The primary meaning of torah is instruction, teaching, or direction. It represents:</w:t>
      </w:r>
    </w:p>
    <w:p w14:paraId="5386DBB2" w14:textId="77777777" w:rsidR="007221D2" w:rsidRDefault="007221D2">
      <w:r>
        <w:t>• Wise human instruction, such as a mother's teaching or parental guidance.</w:t>
      </w:r>
    </w:p>
    <w:p w14:paraId="62DC25E9" w14:textId="77777777" w:rsidR="007221D2" w:rsidRDefault="007221D2">
      <w:r>
        <w:t>• Divine instruction given by God through His prophets, priests, or leaders.</w:t>
      </w:r>
    </w:p>
    <w:p w14:paraId="5417A394" w14:textId="77777777" w:rsidR="007221D2" w:rsidRDefault="007221D2">
      <w:r>
        <w:t>• A specific decree, statute, or system of laws, such as the priestly regulations for sacrifices.</w:t>
      </w:r>
    </w:p>
    <w:p w14:paraId="22F6C8BE" w14:textId="77777777" w:rsidR="007221D2" w:rsidRDefault="007221D2">
      <w:r>
        <w:t>• The authoritative body of covenant law, particularly the Pentateuch (the first five books of the Bible).</w:t>
      </w:r>
    </w:p>
    <w:p w14:paraId="75A0064B" w14:textId="77777777" w:rsidR="007221D2" w:rsidRDefault="007221D2"/>
    <w:p w14:paraId="060FA0E3" w14:textId="77777777" w:rsidR="007221D2" w:rsidRPr="007221D2" w:rsidRDefault="007221D2">
      <w:pPr>
        <w:rPr>
          <w:b/>
        </w:rPr>
      </w:pPr>
      <w:r w:rsidRPr="007221D2">
        <w:rPr>
          <w:b/>
        </w:rPr>
        <w:t>3. Usage and Word Pictures</w:t>
      </w:r>
    </w:p>
    <w:p w14:paraId="512C3F6B" w14:textId="77777777" w:rsidR="007221D2" w:rsidRDefault="007221D2">
      <w:r>
        <w:t>Throughout the Old Testament, torah is frequently paired with verbs of movement, such as "walking" in the law, "running" in the path of the commandments, or "turning aside" from the law. This creates a vivid word picture of a highway. To walk in the torah is to stay on the safe, illuminated path that God has marked out, while to disobey is to wander off into dangerous, trackless wilderness. It is also described as a lamp or light, illustrating how God's instruction provides clarity and direction in a dark world.</w:t>
      </w:r>
    </w:p>
    <w:p w14:paraId="25AF0613" w14:textId="77777777" w:rsidR="007221D2" w:rsidRDefault="007221D2"/>
    <w:p w14:paraId="0A98DC6B" w14:textId="77777777" w:rsidR="007221D2" w:rsidRPr="007221D2" w:rsidRDefault="007221D2">
      <w:pPr>
        <w:rPr>
          <w:b/>
        </w:rPr>
      </w:pPr>
      <w:r w:rsidRPr="007221D2">
        <w:rPr>
          <w:b/>
        </w:rPr>
        <w:t>4. Theological Implications</w:t>
      </w:r>
    </w:p>
    <w:p w14:paraId="032CFA44" w14:textId="77777777" w:rsidR="007221D2" w:rsidRDefault="007221D2">
      <w:r>
        <w:t>The theological significance of torah lies in its connection to God's character and covenant relationship:</w:t>
      </w:r>
    </w:p>
    <w:p w14:paraId="126685A5" w14:textId="77777777" w:rsidR="007221D2" w:rsidRDefault="007221D2">
      <w:r>
        <w:t>• It is a gift of grace: God did not leave Israel to guess how to live or how to please Him; He revealed His will clearly.</w:t>
      </w:r>
    </w:p>
    <w:p w14:paraId="6525DAA5" w14:textId="77777777" w:rsidR="007221D2" w:rsidRDefault="007221D2">
      <w:r>
        <w:t>• It demands faith: Because the torah comes from a loving Father, obeying it is an expression of trust and loyalty, not a means of earning salvation.</w:t>
      </w:r>
    </w:p>
    <w:p w14:paraId="0E645A4C" w14:textId="77777777" w:rsidR="007221D2" w:rsidRDefault="007221D2">
      <w:r>
        <w:t>• It precedes the Sinai covenant: The occurrence of torah here in Exodus 16—before the formal covenant at Sinai—demonstrates that God's people have always been called to live under His divine instruction.</w:t>
      </w:r>
    </w:p>
    <w:p w14:paraId="103A99E0" w14:textId="77777777" w:rsidR="007221D2" w:rsidRDefault="007221D2"/>
    <w:p w14:paraId="61C188C0" w14:textId="77777777" w:rsidR="007221D2" w:rsidRPr="007221D2" w:rsidRDefault="007221D2">
      <w:pPr>
        <w:rPr>
          <w:b/>
        </w:rPr>
      </w:pPr>
      <w:r w:rsidRPr="007221D2">
        <w:rPr>
          <w:b/>
        </w:rPr>
        <w:t>5. Contextual Nuance in the Passage</w:t>
      </w:r>
    </w:p>
    <w:p w14:paraId="41E475C5" w14:textId="77777777" w:rsidR="007221D2" w:rsidRDefault="007221D2">
      <w:r>
        <w:t xml:space="preserve">In Exodus 16:4, God promises to "rain bread from heaven" and establishes a specific gathering protocol to "test them, whether they will walk in My law or not." </w:t>
      </w:r>
    </w:p>
    <w:p w14:paraId="10A2BC1E" w14:textId="77777777" w:rsidR="007221D2" w:rsidRDefault="007221D2">
      <w:r>
        <w:t>• The "law" here refers specifically to the instructions regarding the manna: gathering only a daily portion, gathering a double portion on the sixth day, and resting on the Sabbath.</w:t>
      </w:r>
    </w:p>
    <w:p w14:paraId="7A835711" w14:textId="77777777" w:rsidR="007221D2" w:rsidRDefault="007221D2">
      <w:r>
        <w:t>• This trial demonstrates that God's torah is practical and daily. Before giving the comprehensive legal code at Sinai, He tests Israel's basic willingness to trust His daily instructions.</w:t>
      </w:r>
    </w:p>
    <w:p w14:paraId="122325CF" w14:textId="77777777" w:rsidR="007221D2" w:rsidRDefault="007221D2">
      <w:r>
        <w:t>• The test of the torah in this passage is a test of dependence. Will they trust God's word enough to gather only what is needed for the day, or will they anxiously hoard? Walking in God's torah is directly tied to resting in His daily provision.</w:t>
      </w:r>
    </w:p>
    <w:p w14:paraId="44C5868D" w14:textId="77777777" w:rsidR="007221D2" w:rsidRDefault="007221D2"/>
    <w:p w14:paraId="4E406166" w14:textId="77777777" w:rsidR="007221D2" w:rsidRPr="007221D2" w:rsidRDefault="007221D2">
      <w:pPr>
        <w:rPr>
          <w:b/>
        </w:rPr>
      </w:pPr>
      <w:r w:rsidRPr="007221D2">
        <w:rPr>
          <w:b/>
        </w:rPr>
        <w:t>6. Key Uses in Other Verses (NKJV)</w:t>
      </w:r>
    </w:p>
    <w:p w14:paraId="79042134" w14:textId="77777777" w:rsidR="007221D2" w:rsidRDefault="007221D2">
      <w:r>
        <w:t>• Joshua 1:8 - "This Book of the Law shall not depart from your mouth..."</w:t>
      </w:r>
    </w:p>
    <w:p w14:paraId="380D4A73" w14:textId="77777777" w:rsidR="007221D2" w:rsidRDefault="007221D2">
      <w:r>
        <w:t>• Psalm 1:2 - "But his delight is in the law of the Lord..."</w:t>
      </w:r>
    </w:p>
    <w:p w14:paraId="6653CB72" w14:textId="77777777" w:rsidR="007221D2" w:rsidRDefault="007221D2">
      <w:r>
        <w:t>• Psalm 119:1 - "Blessed are the undefiled in the way, Who walk in the law of the Lord!"</w:t>
      </w:r>
    </w:p>
    <w:p w14:paraId="129228D6" w14:textId="77777777" w:rsidR="007221D2" w:rsidRDefault="007221D2">
      <w:r>
        <w:t>• Proverbs 3:1 - "My son, do not forget my law, But let your heart keep my commands;"</w:t>
      </w:r>
    </w:p>
    <w:p w14:paraId="75EB577A" w14:textId="77777777" w:rsidR="007221D2" w:rsidRDefault="007221D2">
      <w:r>
        <w:t>• Isaiah 2:3 - "For out of Zion shall go forth the law, And the word of the Lord from Jerusalem."</w:t>
      </w:r>
    </w:p>
    <w:p w14:paraId="54F482AC" w14:textId="77777777" w:rsidR="007221D2" w:rsidRDefault="007221D2"/>
    <w:p w14:paraId="6A738CB6" w14:textId="77777777" w:rsidR="007221D2" w:rsidRPr="007221D2" w:rsidRDefault="007221D2">
      <w:pPr>
        <w:rPr>
          <w:b/>
        </w:rPr>
      </w:pPr>
      <w:r w:rsidRPr="007221D2">
        <w:rPr>
          <w:b/>
        </w:rPr>
        <w:t>7. Other Relevant Insights</w:t>
      </w:r>
    </w:p>
    <w:p w14:paraId="6FE37CBC" w14:textId="77777777" w:rsidR="007221D2" w:rsidRDefault="007221D2">
      <w:r>
        <w:t>An important insight is the relationship between the Hebrew torah and the New Testament Greek concept of nomos (law). While nomos can sometimes carry a more strictly legal or judicial tone in Greco-Roman culture, the New Testament writers, steeped in the Old Testament, frequently used nomos with the rich Hebrew understanding of torah as "instruction" or "divine teaching." Recognizing this prevents a false dichotomy between the "harsh law" of the Old Testament and the "grace" of the New Testament. Both testaments present God's instructions as a gracious guide for holy living.</w:t>
      </w:r>
    </w:p>
    <w:p w14:paraId="63A330D1" w14:textId="77777777" w:rsidR="007221D2" w:rsidRDefault="007221D2"/>
    <w:p w14:paraId="117E3978" w14:textId="77777777" w:rsidR="007221D2" w:rsidRPr="007221D2" w:rsidRDefault="007221D2">
      <w:pPr>
        <w:rPr>
          <w:b/>
        </w:rPr>
      </w:pPr>
      <w:r w:rsidRPr="007221D2">
        <w:rPr>
          <w:b/>
        </w:rPr>
        <w:t>8. References</w:t>
      </w:r>
    </w:p>
    <w:p w14:paraId="76DA72A6" w14:textId="77777777" w:rsidR="007221D2" w:rsidRDefault="007221D2">
      <w:r>
        <w:t>• Brown, Driver, and Briggs. Hebrew and English Lexicon of the Old Testament.</w:t>
      </w:r>
    </w:p>
    <w:p w14:paraId="392FB8AC" w14:textId="77777777" w:rsidR="007221D2" w:rsidRDefault="007221D2">
      <w:r>
        <w:t>• Harris, Archer, and Waltke. Theological Wordbook of the Old Testament.</w:t>
      </w:r>
    </w:p>
    <w:p w14:paraId="1BD8B4B9" w14:textId="77777777" w:rsidR="007221D2" w:rsidRDefault="007221D2">
      <w:r>
        <w:t>• Koehler and Baumgartner. The Hebrew and Aramaic Lexicon of the Old Testament.</w:t>
      </w:r>
    </w:p>
    <w:p w14:paraId="20AAE6F2" w14:textId="77777777" w:rsidR="007221D2" w:rsidRDefault="007221D2">
      <w:r>
        <w:t>• VanGemeren. New International Dictionary of Old Testament Theology and Exegesis.</w:t>
      </w:r>
    </w:p>
    <w:p w14:paraId="338FAA76" w14:textId="576A8A1C" w:rsidR="004C5552" w:rsidRDefault="007221D2">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1D2"/>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5467B"/>
  <w15:chartTrackingRefBased/>
  <w15:docId w15:val="{72C7A888-A1EE-416E-8C83-F81D3B04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2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2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1D2"/>
    <w:rPr>
      <w:rFonts w:eastAsiaTheme="majorEastAsia" w:cstheme="majorBidi"/>
      <w:color w:val="272727" w:themeColor="text1" w:themeTint="D8"/>
    </w:rPr>
  </w:style>
  <w:style w:type="paragraph" w:styleId="Title">
    <w:name w:val="Title"/>
    <w:basedOn w:val="Normal"/>
    <w:next w:val="Normal"/>
    <w:link w:val="TitleChar"/>
    <w:uiPriority w:val="10"/>
    <w:qFormat/>
    <w:rsid w:val="00722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1D2"/>
    <w:pPr>
      <w:spacing w:before="160"/>
      <w:jc w:val="center"/>
    </w:pPr>
    <w:rPr>
      <w:i/>
      <w:iCs/>
      <w:color w:val="404040" w:themeColor="text1" w:themeTint="BF"/>
    </w:rPr>
  </w:style>
  <w:style w:type="character" w:customStyle="1" w:styleId="QuoteChar">
    <w:name w:val="Quote Char"/>
    <w:basedOn w:val="DefaultParagraphFont"/>
    <w:link w:val="Quote"/>
    <w:uiPriority w:val="29"/>
    <w:rsid w:val="007221D2"/>
    <w:rPr>
      <w:i/>
      <w:iCs/>
      <w:color w:val="404040" w:themeColor="text1" w:themeTint="BF"/>
    </w:rPr>
  </w:style>
  <w:style w:type="paragraph" w:styleId="ListParagraph">
    <w:name w:val="List Paragraph"/>
    <w:basedOn w:val="Normal"/>
    <w:uiPriority w:val="34"/>
    <w:qFormat/>
    <w:rsid w:val="007221D2"/>
    <w:pPr>
      <w:ind w:left="720"/>
      <w:contextualSpacing/>
    </w:pPr>
  </w:style>
  <w:style w:type="character" w:styleId="IntenseEmphasis">
    <w:name w:val="Intense Emphasis"/>
    <w:basedOn w:val="DefaultParagraphFont"/>
    <w:uiPriority w:val="21"/>
    <w:qFormat/>
    <w:rsid w:val="007221D2"/>
    <w:rPr>
      <w:i/>
      <w:iCs/>
      <w:color w:val="2E74B5" w:themeColor="accent1" w:themeShade="BF"/>
    </w:rPr>
  </w:style>
  <w:style w:type="paragraph" w:styleId="IntenseQuote">
    <w:name w:val="Intense Quote"/>
    <w:basedOn w:val="Normal"/>
    <w:next w:val="Normal"/>
    <w:link w:val="IntenseQuoteChar"/>
    <w:uiPriority w:val="30"/>
    <w:qFormat/>
    <w:rsid w:val="007221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21D2"/>
    <w:rPr>
      <w:i/>
      <w:iCs/>
      <w:color w:val="2E74B5" w:themeColor="accent1" w:themeShade="BF"/>
    </w:rPr>
  </w:style>
  <w:style w:type="character" w:styleId="IntenseReference">
    <w:name w:val="Intense Reference"/>
    <w:basedOn w:val="DefaultParagraphFont"/>
    <w:uiPriority w:val="32"/>
    <w:qFormat/>
    <w:rsid w:val="007221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