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8151" w14:textId="77777777" w:rsidR="009431FC" w:rsidRPr="009431FC" w:rsidRDefault="009431FC">
      <w:pPr>
        <w:rPr>
          <w:b/>
        </w:rPr>
      </w:pPr>
      <w:r w:rsidRPr="009431FC">
        <w:rPr>
          <w:b/>
        </w:rPr>
        <w:t>GOODNESS - ( tobah , Strong's H2896 )</w:t>
      </w:r>
    </w:p>
    <w:p w14:paraId="416EECE0" w14:textId="77777777" w:rsidR="009431FC" w:rsidRDefault="009431FC">
      <w:r w:rsidRPr="009431FC">
        <w:rPr>
          <w:b/>
        </w:rPr>
        <w:t>Summary:</w:t>
      </w:r>
    </w:p>
    <w:p w14:paraId="0CE6A79E" w14:textId="77777777" w:rsidR="009431FC" w:rsidRDefault="009431FC">
      <w:r>
        <w:t>In Exodus 18:9, the word translated "goodness" refers to the tangible, historical acts of deliverance and blessing that Yahweh performed on behalf of Israel. Rather than an abstract, philosophical virtue, this goodness represents God’s covenant love in action—specifically His rescue of Israel from Egypt—which moves the Midianite priest Jethro to rejoice and acknowledge the supremacy of the one true God.</w:t>
      </w:r>
    </w:p>
    <w:p w14:paraId="63D521D8" w14:textId="77777777" w:rsidR="009431FC" w:rsidRDefault="009431FC"/>
    <w:p w14:paraId="0CEB7978" w14:textId="77777777" w:rsidR="009431FC" w:rsidRDefault="009431FC">
      <w:r w:rsidRPr="009431FC">
        <w:rPr>
          <w:b/>
        </w:rPr>
        <w:t>Full Study:</w:t>
      </w:r>
    </w:p>
    <w:p w14:paraId="461B9E14" w14:textId="77777777" w:rsidR="009431FC" w:rsidRDefault="009431FC"/>
    <w:p w14:paraId="19AE93E2" w14:textId="77777777" w:rsidR="009431FC" w:rsidRPr="009431FC" w:rsidRDefault="009431FC">
      <w:pPr>
        <w:rPr>
          <w:b/>
        </w:rPr>
      </w:pPr>
      <w:r w:rsidRPr="009431FC">
        <w:rPr>
          <w:b/>
        </w:rPr>
        <w:t>1. Word Picture / Background</w:t>
      </w:r>
    </w:p>
    <w:p w14:paraId="27A98AB8" w14:textId="77777777" w:rsidR="009431FC" w:rsidRDefault="009431FC">
      <w:r>
        <w:t>The Hebrew root tob carries the primary idea of that which is beautiful, pleasant, joyful, and functioning exactly as it was designed to. In the ancient Near East, goodness was not conceived in purely abstract terms. It was deeply practical and relational. To experience goodness meant to enjoy peace, safety, abundance, and freedom from oppression. The feminine noun form tobah brings this concrete reality into focus, referring to specific benefits, prosperity, or welfare experienced by individuals or a community as a direct result of someone's favor.</w:t>
      </w:r>
    </w:p>
    <w:p w14:paraId="39E40F07" w14:textId="77777777" w:rsidR="009431FC" w:rsidRDefault="009431FC"/>
    <w:p w14:paraId="0385D53E" w14:textId="77777777" w:rsidR="009431FC" w:rsidRPr="009431FC" w:rsidRDefault="009431FC">
      <w:pPr>
        <w:rPr>
          <w:b/>
        </w:rPr>
      </w:pPr>
      <w:r w:rsidRPr="009431FC">
        <w:rPr>
          <w:b/>
        </w:rPr>
        <w:t>2. Meaning / Lexical Definition</w:t>
      </w:r>
    </w:p>
    <w:p w14:paraId="1F466464" w14:textId="77777777" w:rsidR="009431FC" w:rsidRDefault="009431FC">
      <w:r>
        <w:t>• Tobah refers to goodness, welfare, benefit, prosperity, or a good thing. Lexically, it denotes both the quality of being good and the specific manifestation of that goodness in practical actions. It represents the concrete expressions of favor and kindness shown by God toward humanity, or by one human toward another. In contexts of covenant relationship, it signifies the tangible blessings of security, deliverance, and provision that flow from a loyal relationship.</w:t>
      </w:r>
    </w:p>
    <w:p w14:paraId="348BADA5" w14:textId="77777777" w:rsidR="009431FC" w:rsidRDefault="009431FC"/>
    <w:p w14:paraId="7C2CE72C" w14:textId="77777777" w:rsidR="009431FC" w:rsidRPr="009431FC" w:rsidRDefault="009431FC">
      <w:pPr>
        <w:rPr>
          <w:b/>
        </w:rPr>
      </w:pPr>
      <w:r w:rsidRPr="009431FC">
        <w:rPr>
          <w:b/>
        </w:rPr>
        <w:t>3. Usage and Word Pictures</w:t>
      </w:r>
    </w:p>
    <w:p w14:paraId="69A091D0" w14:textId="77777777" w:rsidR="009431FC" w:rsidRDefault="009431FC">
      <w:r>
        <w:t>Throughout the Old Testament, tobah is frequently contrasted with ra (evil, harm, or disaster). The word evokes the picture of a life-giving rain, a bountiful harvest, or a safe journey through a dangerous wilderness. It is the visual evidence of a protector's favor. When God promises to do "good" to His people, He is promising to act in history to secure their physical and spiritual well-being. Tobah is goodness that can be seen, tasted, and shared.</w:t>
      </w:r>
    </w:p>
    <w:p w14:paraId="308316B7" w14:textId="77777777" w:rsidR="009431FC" w:rsidRDefault="009431FC"/>
    <w:p w14:paraId="384F11BC" w14:textId="77777777" w:rsidR="009431FC" w:rsidRPr="009431FC" w:rsidRDefault="009431FC">
      <w:pPr>
        <w:rPr>
          <w:b/>
        </w:rPr>
      </w:pPr>
      <w:r w:rsidRPr="009431FC">
        <w:rPr>
          <w:b/>
        </w:rPr>
        <w:t>4. Theological Implications</w:t>
      </w:r>
    </w:p>
    <w:p w14:paraId="6DD72AB6" w14:textId="77777777" w:rsidR="009431FC" w:rsidRDefault="009431FC">
      <w:r>
        <w:t>The goodness of God is the practical execution of His covenant faithfulness (chesed). God does not merely possess goodness as an internal attribute; He pours it out upon His creation and His people. His goodness is active, interventionist, and redemptive. In the narrative of the Exodus, God's goodness is the standard by which His character is vindicated before the nations. It proves that Yahweh is not like the indifferent or capricious gods of the ancient world; He is a personal Deliverer who acts with benevolent power to redeem the oppressed.</w:t>
      </w:r>
    </w:p>
    <w:p w14:paraId="5CB81582" w14:textId="77777777" w:rsidR="009431FC" w:rsidRDefault="009431FC"/>
    <w:p w14:paraId="24B1969B" w14:textId="77777777" w:rsidR="009431FC" w:rsidRPr="009431FC" w:rsidRDefault="009431FC">
      <w:pPr>
        <w:rPr>
          <w:b/>
        </w:rPr>
      </w:pPr>
      <w:r w:rsidRPr="009431FC">
        <w:rPr>
          <w:b/>
        </w:rPr>
        <w:t>5. Contextual Nuance in the Passage</w:t>
      </w:r>
    </w:p>
    <w:p w14:paraId="35DB0C64" w14:textId="77777777" w:rsidR="009431FC" w:rsidRDefault="009431FC">
      <w:r>
        <w:t>In Exodus 18:9, Moses' father-in-law, Jethro, rejoices over "all the goodness" Yahweh had done for Israel. In this immediate context, "goodness" is the sum total of the miraculous plagues, the parting of the Red Sea, the provision of manna, and the victory over the Amalekites. Jethro, a Gentile priest of Midian, recognizes that these historical events are not coincidences but the deliberate, powerful tobah of Israel's God. This realization shifts Jethro from a sympathetic observer to a worshiper who declares, "Now I know that the LORD is greater than all gods" (Exodus 18:11). God's goodness serves as a powerful testimony that draws those from the outside into the worship of Yahweh.</w:t>
      </w:r>
    </w:p>
    <w:p w14:paraId="08EC62E5" w14:textId="77777777" w:rsidR="009431FC" w:rsidRDefault="009431FC"/>
    <w:p w14:paraId="195B7C95" w14:textId="77777777" w:rsidR="009431FC" w:rsidRPr="009431FC" w:rsidRDefault="009431FC">
      <w:pPr>
        <w:rPr>
          <w:b/>
        </w:rPr>
      </w:pPr>
      <w:r w:rsidRPr="009431FC">
        <w:rPr>
          <w:b/>
        </w:rPr>
        <w:t>6. Key Uses in Other Verses (NKJV)</w:t>
      </w:r>
    </w:p>
    <w:p w14:paraId="2114354F" w14:textId="77777777" w:rsidR="009431FC" w:rsidRDefault="009431FC">
      <w:r>
        <w:t>• Psalm 23:6: "Surely goodness and mercy shall follow me All the days of my life; And I will dwell in the house of the LORD Forever."</w:t>
      </w:r>
    </w:p>
    <w:p w14:paraId="224F889A" w14:textId="77777777" w:rsidR="009431FC" w:rsidRDefault="009431FC">
      <w:r>
        <w:t>• Deuteronomy 30:15: "See, I have set before you today life and good, death and evil,"</w:t>
      </w:r>
    </w:p>
    <w:p w14:paraId="68435F9A" w14:textId="77777777" w:rsidR="009431FC" w:rsidRDefault="009431FC">
      <w:r>
        <w:t>• Psalm 122:9: "Because of the house of the LORD our God I will seek your good."</w:t>
      </w:r>
    </w:p>
    <w:p w14:paraId="1D6B8EE1" w14:textId="77777777" w:rsidR="009431FC" w:rsidRDefault="009431FC">
      <w:r>
        <w:t>• Psalm 106:5: "That I may see the benefit of Your chosen ones, That I may rejoice in the gladness of Your nation..." (The word "benefit" here is tobah).</w:t>
      </w:r>
    </w:p>
    <w:p w14:paraId="54F3ABEF" w14:textId="77777777" w:rsidR="009431FC" w:rsidRDefault="009431FC"/>
    <w:p w14:paraId="61897CF9" w14:textId="77777777" w:rsidR="009431FC" w:rsidRPr="009431FC" w:rsidRDefault="009431FC">
      <w:pPr>
        <w:rPr>
          <w:b/>
        </w:rPr>
      </w:pPr>
      <w:r w:rsidRPr="009431FC">
        <w:rPr>
          <w:b/>
        </w:rPr>
        <w:t>7. Other Relevant Insights</w:t>
      </w:r>
    </w:p>
    <w:p w14:paraId="5031BDC5" w14:textId="77777777" w:rsidR="009431FC" w:rsidRDefault="009431FC">
      <w:r>
        <w:t>The response of Jethro highlights the missiological dimension of God's goodness. When God blesses His people, it is never for their consumption alone; it is a display of His character meant to be witnessed by the surrounding nations. The testimony of God’s goodness has the power to overcome cultural and religious barriers, leading others to acknowledge and praise the Creator.</w:t>
      </w:r>
    </w:p>
    <w:p w14:paraId="75BB74C1" w14:textId="77777777" w:rsidR="009431FC" w:rsidRDefault="009431FC"/>
    <w:p w14:paraId="0FAFCD52" w14:textId="77777777" w:rsidR="009431FC" w:rsidRPr="009431FC" w:rsidRDefault="009431FC">
      <w:pPr>
        <w:rPr>
          <w:b/>
        </w:rPr>
      </w:pPr>
      <w:r w:rsidRPr="009431FC">
        <w:rPr>
          <w:b/>
        </w:rPr>
        <w:t>8. References</w:t>
      </w:r>
    </w:p>
    <w:p w14:paraId="3961661F" w14:textId="77777777" w:rsidR="009431FC" w:rsidRDefault="009431FC">
      <w:r>
        <w:t>• Brown, Driver, and Briggs Hebrew and English Lexicon</w:t>
      </w:r>
    </w:p>
    <w:p w14:paraId="2FF9001F" w14:textId="77777777" w:rsidR="009431FC" w:rsidRDefault="009431FC">
      <w:r>
        <w:t>• Theological Wordbook of the Old Testament</w:t>
      </w:r>
    </w:p>
    <w:p w14:paraId="0682343F" w14:textId="77777777" w:rsidR="009431FC" w:rsidRDefault="009431FC">
      <w:r>
        <w:t>• New International Dictionary of Old Testament Theology and Exegesis</w:t>
      </w:r>
    </w:p>
    <w:p w14:paraId="4250BE26" w14:textId="77777777" w:rsidR="009431FC" w:rsidRDefault="009431FC">
      <w:r>
        <w:t>• Vine's Expository Dictionary of Old and New Testament Words</w:t>
      </w:r>
    </w:p>
    <w:p w14:paraId="5051FE7D" w14:textId="2E9B9863" w:rsidR="004C5552" w:rsidRDefault="009431FC">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31F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2CF4"/>
  <w15:chartTrackingRefBased/>
  <w15:docId w15:val="{242FD43A-A32D-481E-9868-C4BD56CE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FC"/>
    <w:rPr>
      <w:rFonts w:eastAsiaTheme="majorEastAsia" w:cstheme="majorBidi"/>
      <w:color w:val="272727" w:themeColor="text1" w:themeTint="D8"/>
    </w:rPr>
  </w:style>
  <w:style w:type="paragraph" w:styleId="Title">
    <w:name w:val="Title"/>
    <w:basedOn w:val="Normal"/>
    <w:next w:val="Normal"/>
    <w:link w:val="TitleChar"/>
    <w:uiPriority w:val="10"/>
    <w:qFormat/>
    <w:rsid w:val="0094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FC"/>
    <w:pPr>
      <w:spacing w:before="160"/>
      <w:jc w:val="center"/>
    </w:pPr>
    <w:rPr>
      <w:i/>
      <w:iCs/>
      <w:color w:val="404040" w:themeColor="text1" w:themeTint="BF"/>
    </w:rPr>
  </w:style>
  <w:style w:type="character" w:customStyle="1" w:styleId="QuoteChar">
    <w:name w:val="Quote Char"/>
    <w:basedOn w:val="DefaultParagraphFont"/>
    <w:link w:val="Quote"/>
    <w:uiPriority w:val="29"/>
    <w:rsid w:val="009431FC"/>
    <w:rPr>
      <w:i/>
      <w:iCs/>
      <w:color w:val="404040" w:themeColor="text1" w:themeTint="BF"/>
    </w:rPr>
  </w:style>
  <w:style w:type="paragraph" w:styleId="ListParagraph">
    <w:name w:val="List Paragraph"/>
    <w:basedOn w:val="Normal"/>
    <w:uiPriority w:val="34"/>
    <w:qFormat/>
    <w:rsid w:val="009431FC"/>
    <w:pPr>
      <w:ind w:left="720"/>
      <w:contextualSpacing/>
    </w:pPr>
  </w:style>
  <w:style w:type="character" w:styleId="IntenseEmphasis">
    <w:name w:val="Intense Emphasis"/>
    <w:basedOn w:val="DefaultParagraphFont"/>
    <w:uiPriority w:val="21"/>
    <w:qFormat/>
    <w:rsid w:val="009431FC"/>
    <w:rPr>
      <w:i/>
      <w:iCs/>
      <w:color w:val="2E74B5" w:themeColor="accent1" w:themeShade="BF"/>
    </w:rPr>
  </w:style>
  <w:style w:type="paragraph" w:styleId="IntenseQuote">
    <w:name w:val="Intense Quote"/>
    <w:basedOn w:val="Normal"/>
    <w:next w:val="Normal"/>
    <w:link w:val="IntenseQuoteChar"/>
    <w:uiPriority w:val="30"/>
    <w:qFormat/>
    <w:rsid w:val="009431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1FC"/>
    <w:rPr>
      <w:i/>
      <w:iCs/>
      <w:color w:val="2E74B5" w:themeColor="accent1" w:themeShade="BF"/>
    </w:rPr>
  </w:style>
  <w:style w:type="character" w:styleId="IntenseReference">
    <w:name w:val="Intense Reference"/>
    <w:basedOn w:val="DefaultParagraphFont"/>
    <w:uiPriority w:val="32"/>
    <w:qFormat/>
    <w:rsid w:val="009431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