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3BD80" w14:textId="77777777" w:rsidR="00F626B2" w:rsidRPr="00F626B2" w:rsidRDefault="00F626B2">
      <w:pPr>
        <w:rPr>
          <w:b/>
        </w:rPr>
      </w:pPr>
      <w:r w:rsidRPr="00F626B2">
        <w:rPr>
          <w:b/>
        </w:rPr>
        <w:t>BEFORE - ( panim , Strong's H6440 )</w:t>
      </w:r>
    </w:p>
    <w:p w14:paraId="604E2F76" w14:textId="77777777" w:rsidR="00F626B2" w:rsidRDefault="00F626B2">
      <w:r w:rsidRPr="00F626B2">
        <w:rPr>
          <w:b/>
        </w:rPr>
        <w:t>Summary:</w:t>
      </w:r>
    </w:p>
    <w:p w14:paraId="6179D5E5" w14:textId="77777777" w:rsidR="00F626B2" w:rsidRDefault="00F626B2">
      <w:r>
        <w:t>In Exodus 20:3, the Hebrew word translated "before" is panim (literally "face" or "presence"), used here with the preposition al ("upon" or "against") to form the phrase al-panay ("before My face" or "in My presence"). In the context of the First Commandment, this phrase commands Israel to have no other gods in Yahweh's presence or in addition to Him. It portrays the Lord's presence as an all-encompassing, exclusive sphere where no rival deity can be tolerated, emphasizing undivided loyalty and the absolute singularity of God.</w:t>
      </w:r>
    </w:p>
    <w:p w14:paraId="63B7E6D7" w14:textId="77777777" w:rsidR="00F626B2" w:rsidRDefault="00F626B2"/>
    <w:p w14:paraId="58CB901B" w14:textId="77777777" w:rsidR="00F626B2" w:rsidRDefault="00F626B2">
      <w:r w:rsidRPr="00F626B2">
        <w:rPr>
          <w:b/>
        </w:rPr>
        <w:t>Full Study:</w:t>
      </w:r>
    </w:p>
    <w:p w14:paraId="65847ACA" w14:textId="77777777" w:rsidR="00F626B2" w:rsidRDefault="00F626B2"/>
    <w:p w14:paraId="6E9C8DC2" w14:textId="77777777" w:rsidR="00F626B2" w:rsidRPr="00F626B2" w:rsidRDefault="00F626B2">
      <w:pPr>
        <w:rPr>
          <w:b/>
        </w:rPr>
      </w:pPr>
      <w:r w:rsidRPr="00F626B2">
        <w:rPr>
          <w:b/>
        </w:rPr>
        <w:t>1. Word Picture / Background</w:t>
      </w:r>
    </w:p>
    <w:p w14:paraId="0CB6F26E" w14:textId="77777777" w:rsidR="00F626B2" w:rsidRDefault="00F626B2">
      <w:r>
        <w:t>• panim is a plural noun that literally means "face" or "faces." In Hebrew thought, the face is the index of the person, representing their presence, character, and personal attention. To be "before the face" of someone means to be in their direct personal presence, fully visible to them. The word picture is highly relational and spatial; it suggests being face-to-face, where thoughts, expressions, and relationships are open and transparent. When used of God, panim denotes His active, personal presence, which can bring either favor (the shining of His face) or judgment (His face set against evil).</w:t>
      </w:r>
    </w:p>
    <w:p w14:paraId="6259225E" w14:textId="77777777" w:rsidR="00F626B2" w:rsidRDefault="00F626B2"/>
    <w:p w14:paraId="5C062CFB" w14:textId="77777777" w:rsidR="00F626B2" w:rsidRPr="00F626B2" w:rsidRDefault="00F626B2">
      <w:pPr>
        <w:rPr>
          <w:b/>
        </w:rPr>
      </w:pPr>
      <w:r w:rsidRPr="00F626B2">
        <w:rPr>
          <w:b/>
        </w:rPr>
        <w:t>2. Meaning / Lexical Definition</w:t>
      </w:r>
    </w:p>
    <w:p w14:paraId="402D2D8E" w14:textId="77777777" w:rsidR="00F626B2" w:rsidRDefault="00F626B2">
      <w:r>
        <w:t>• panim refers to the front part of the head, but it is most frequently used in the Old Testament to denote "presence" or "surface."</w:t>
      </w:r>
    </w:p>
    <w:p w14:paraId="482E26AE" w14:textId="77777777" w:rsidR="00F626B2" w:rsidRDefault="00F626B2">
      <w:r>
        <w:t>• When combined with various prepositions, it functions idiomatically to indicate spatial or temporal relationships, such as "before," "in front of," "in the presence of," or "formerly."</w:t>
      </w:r>
    </w:p>
    <w:p w14:paraId="5931A1CE" w14:textId="77777777" w:rsidR="00F626B2" w:rsidRDefault="00F626B2">
      <w:r>
        <w:t>• In Exodus 20:3, the phrase is al-panay (the preposition al meaning "upon, against, above, or in addition to," combined with panim with the first-person singular suffix "My").</w:t>
      </w:r>
    </w:p>
    <w:p w14:paraId="64AFA97E" w14:textId="77777777" w:rsidR="00F626B2" w:rsidRDefault="00F626B2">
      <w:r>
        <w:t>• Lexically, al-pene can mean "in the presence of," "in front of," "in addition to," or "defiant of." Therefore, "before Me" carries the double nuance of "in My presence" (under My very eyes) and "besides Me" (as a rival or addition to Me).</w:t>
      </w:r>
    </w:p>
    <w:p w14:paraId="0384F186" w14:textId="77777777" w:rsidR="00F626B2" w:rsidRDefault="00F626B2"/>
    <w:p w14:paraId="0E80741C" w14:textId="77777777" w:rsidR="00F626B2" w:rsidRPr="00F626B2" w:rsidRDefault="00F626B2">
      <w:pPr>
        <w:rPr>
          <w:b/>
        </w:rPr>
      </w:pPr>
      <w:r w:rsidRPr="00F626B2">
        <w:rPr>
          <w:b/>
        </w:rPr>
        <w:t>3. Usage and Word Pictures</w:t>
      </w:r>
    </w:p>
    <w:p w14:paraId="540C3674" w14:textId="77777777" w:rsidR="00F626B2" w:rsidRDefault="00F626B2">
      <w:r>
        <w:t>• As a physical description, panim refers to the human face (Genesis 4:5, where Cain's "countenance" fell).</w:t>
      </w:r>
    </w:p>
    <w:p w14:paraId="3D3925CC" w14:textId="77777777" w:rsidR="00F626B2" w:rsidRDefault="00F626B2">
      <w:r>
        <w:t>• As a spatial idiom, it describes being in front of something or someone, such as standing "before" a king (Genesis 41:46).</w:t>
      </w:r>
    </w:p>
    <w:p w14:paraId="78D50CF8" w14:textId="77777777" w:rsidR="00F626B2" w:rsidRDefault="00F626B2">
      <w:r>
        <w:t>• In a relational or spiritual sense, seeking the "face" of God means seeking His presence, favor, and fellowship (Psalm 27:8).</w:t>
      </w:r>
    </w:p>
    <w:p w14:paraId="6A26A50E" w14:textId="77777777" w:rsidR="00F626B2" w:rsidRDefault="00F626B2">
      <w:r>
        <w:t>• Conversely, to turn one's back to God's face or to hide from His face (Genesis 3:8) represents broken fellowship and rebellion. The word picture in Exodus 20:3 depicts a husband who will not tolerate a rival partner brought "before his face"—into his own home and presence.</w:t>
      </w:r>
    </w:p>
    <w:p w14:paraId="23FA7E07" w14:textId="77777777" w:rsidR="00F626B2" w:rsidRDefault="00F626B2"/>
    <w:p w14:paraId="2E838E59" w14:textId="77777777" w:rsidR="00F626B2" w:rsidRPr="00F626B2" w:rsidRDefault="00F626B2">
      <w:pPr>
        <w:rPr>
          <w:b/>
        </w:rPr>
      </w:pPr>
      <w:r w:rsidRPr="00F626B2">
        <w:rPr>
          <w:b/>
        </w:rPr>
        <w:t>4. Theological Implications</w:t>
      </w:r>
    </w:p>
    <w:p w14:paraId="2E036994" w14:textId="77777777" w:rsidR="00F626B2" w:rsidRDefault="00F626B2">
      <w:r>
        <w:t>The use of panim in the First Commandment underscores the personal nature of Yahweh's covenant with Israel. God does not merely forbid worshiping other gods in some abstract, cosmic sense; He forbids bringing them into His active presence. Since God is omnipresent, the entire world is His temple, meaning there is no place where another god can be worshiped that is not "before His face." The command asserts His absolute sovereignty and exclusivity. Monotheism is not presented merely as a dry philosophical truth, but as a living, relational boundary. Introducing other gods is an intimate insult, an act of spiritual adultery committed directly in the sight of the Husband.</w:t>
      </w:r>
    </w:p>
    <w:p w14:paraId="25033487" w14:textId="77777777" w:rsidR="00F626B2" w:rsidRDefault="00F626B2"/>
    <w:p w14:paraId="14ABCEF6" w14:textId="77777777" w:rsidR="00F626B2" w:rsidRPr="00F626B2" w:rsidRDefault="00F626B2">
      <w:pPr>
        <w:rPr>
          <w:b/>
        </w:rPr>
      </w:pPr>
      <w:r w:rsidRPr="00F626B2">
        <w:rPr>
          <w:b/>
        </w:rPr>
        <w:t>5. Contextual Nuance in the Passage</w:t>
      </w:r>
    </w:p>
    <w:p w14:paraId="7D2F8796" w14:textId="77777777" w:rsidR="00F626B2" w:rsidRDefault="00F626B2">
      <w:r>
        <w:t>In the immediate context of the Decalogue (Exodus 20), the phrase al-panay ("before Me") sets the boundary for all subsequent commandments. Because Yahweh brought Israel out of the land of Egypt, out of the house of bondage (Exodus 20:2), He has exclusive rights to their devotion. The nuance of "before Me" here is both exclusive ("no other gods besides Me") and confrontational ("no other gods in My presence"). It means Israel is not to place any other deity on par with Yahweh, nor are they to worship other gods in the land where His presence dwells. It demands a loyalty that is both exclusive and transparent, acknowledging that all of life is lived under the gaze of the living God.</w:t>
      </w:r>
    </w:p>
    <w:p w14:paraId="55CC67DB" w14:textId="77777777" w:rsidR="00F626B2" w:rsidRDefault="00F626B2"/>
    <w:p w14:paraId="60B137D2" w14:textId="77777777" w:rsidR="00F626B2" w:rsidRPr="00F626B2" w:rsidRDefault="00F626B2">
      <w:pPr>
        <w:rPr>
          <w:b/>
        </w:rPr>
      </w:pPr>
      <w:r w:rsidRPr="00F626B2">
        <w:rPr>
          <w:b/>
        </w:rPr>
        <w:t>6. Key Uses in Other Verses (NKJV)</w:t>
      </w:r>
    </w:p>
    <w:p w14:paraId="59728D03" w14:textId="77777777" w:rsidR="00F626B2" w:rsidRDefault="00F626B2">
      <w:r>
        <w:t>• Genesis 3:8 – "And Adam and his wife hid themselves from the presence (panim) of the LORD God among the trees of the garden."</w:t>
      </w:r>
    </w:p>
    <w:p w14:paraId="3DA8594A" w14:textId="77777777" w:rsidR="00F626B2" w:rsidRDefault="00F626B2">
      <w:r>
        <w:t>• Genesis 4:16 – "Then Cain went out from the presence (panim) of the LORD and dwelt in the land of Nod on the east of Eden."</w:t>
      </w:r>
    </w:p>
    <w:p w14:paraId="18583329" w14:textId="77777777" w:rsidR="00F626B2" w:rsidRDefault="00F626B2">
      <w:r>
        <w:t>• Exodus 33:14 – "And He said, 'My Presence (panim) will go with you, and I will give you rest.'"</w:t>
      </w:r>
    </w:p>
    <w:p w14:paraId="06CD7B76" w14:textId="77777777" w:rsidR="00F626B2" w:rsidRDefault="00F626B2">
      <w:r>
        <w:t>• Deuteronomy 5:7 – "You shall have no other gods before (panim) Me."</w:t>
      </w:r>
    </w:p>
    <w:p w14:paraId="45CDBA3F" w14:textId="77777777" w:rsidR="00F626B2" w:rsidRDefault="00F626B2">
      <w:r>
        <w:t>• Psalm 16:11 – "You will show me the path of life; In Your presence (panim) is fullness of joy; At Your right hand are pleasures forevermore."</w:t>
      </w:r>
    </w:p>
    <w:p w14:paraId="3A69A279" w14:textId="77777777" w:rsidR="00F626B2" w:rsidRDefault="00F626B2"/>
    <w:p w14:paraId="44CBC0AB" w14:textId="77777777" w:rsidR="00F626B2" w:rsidRPr="00F626B2" w:rsidRDefault="00F626B2">
      <w:pPr>
        <w:rPr>
          <w:b/>
        </w:rPr>
      </w:pPr>
      <w:r w:rsidRPr="00F626B2">
        <w:rPr>
          <w:b/>
        </w:rPr>
        <w:t>7. Other Relevant Insights</w:t>
      </w:r>
    </w:p>
    <w:p w14:paraId="71824142" w14:textId="77777777" w:rsidR="00F626B2" w:rsidRDefault="00F626B2">
      <w:r>
        <w:t>In ancient Near Eastern treaty contexts, a vassal king was required to show absolute loyalty to the suzerain (the supreme king). To place another god "before" the suzerain's face would be an act of treason, comparable to bringing a rival king's emblem into the throne room. This cultural background highlights the political and covenantal weight of the First Commandment. Furthermore, the tabernacle housed the "bread of the Presence" (literally "bread of the face," lechem ha-panim), symbolizing God’s continuous, face-to-face fellowship and provision for His people, which would be entirely incompatible with the presence of idols.</w:t>
      </w:r>
    </w:p>
    <w:p w14:paraId="1E11AF65" w14:textId="77777777" w:rsidR="00F626B2" w:rsidRDefault="00F626B2"/>
    <w:p w14:paraId="532E6F97" w14:textId="77777777" w:rsidR="00F626B2" w:rsidRPr="00F626B2" w:rsidRDefault="00F626B2">
      <w:pPr>
        <w:rPr>
          <w:b/>
        </w:rPr>
      </w:pPr>
      <w:r w:rsidRPr="00F626B2">
        <w:rPr>
          <w:b/>
        </w:rPr>
        <w:t>8. References</w:t>
      </w:r>
    </w:p>
    <w:p w14:paraId="2643B82C" w14:textId="77777777" w:rsidR="00F626B2" w:rsidRDefault="00F626B2">
      <w:r>
        <w:t>• Brown, F., Driver, S. R., and Briggs, C. A. Hebrew and English Lexicon of the Old Testament.</w:t>
      </w:r>
    </w:p>
    <w:p w14:paraId="20D8D0F2" w14:textId="77777777" w:rsidR="00F626B2" w:rsidRDefault="00F626B2">
      <w:r>
        <w:t>• Harris, R. L., Archer, G. L., and Waltke, B. K. Theological Wordbook of the Old Testament.</w:t>
      </w:r>
    </w:p>
    <w:p w14:paraId="420DA3DA" w14:textId="77777777" w:rsidR="00F626B2" w:rsidRDefault="00F626B2">
      <w:r>
        <w:t>• Koehler, L., and Baumgartner, W. The Hebrew and Aramaic Lexicon of the Old Testament.</w:t>
      </w:r>
    </w:p>
    <w:p w14:paraId="48CBA6A5" w14:textId="77777777" w:rsidR="00F626B2" w:rsidRDefault="00F626B2">
      <w:r>
        <w:t>• VanGemeren, W. A. New International Dictionary of Old Testament Theology and Exegesis.</w:t>
      </w:r>
    </w:p>
    <w:p w14:paraId="231CD69B" w14:textId="47C4F32A" w:rsidR="004C5552" w:rsidRDefault="00F626B2">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B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626B2"/>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6B610"/>
  <w15:chartTrackingRefBased/>
  <w15:docId w15:val="{EE6C1EF8-8E5A-46FE-BACF-51EE64AE0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2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2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6B2"/>
    <w:rPr>
      <w:rFonts w:eastAsiaTheme="majorEastAsia" w:cstheme="majorBidi"/>
      <w:color w:val="272727" w:themeColor="text1" w:themeTint="D8"/>
    </w:rPr>
  </w:style>
  <w:style w:type="paragraph" w:styleId="Title">
    <w:name w:val="Title"/>
    <w:basedOn w:val="Normal"/>
    <w:next w:val="Normal"/>
    <w:link w:val="TitleChar"/>
    <w:uiPriority w:val="10"/>
    <w:qFormat/>
    <w:rsid w:val="00F62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6B2"/>
    <w:pPr>
      <w:spacing w:before="160"/>
      <w:jc w:val="center"/>
    </w:pPr>
    <w:rPr>
      <w:i/>
      <w:iCs/>
      <w:color w:val="404040" w:themeColor="text1" w:themeTint="BF"/>
    </w:rPr>
  </w:style>
  <w:style w:type="character" w:customStyle="1" w:styleId="QuoteChar">
    <w:name w:val="Quote Char"/>
    <w:basedOn w:val="DefaultParagraphFont"/>
    <w:link w:val="Quote"/>
    <w:uiPriority w:val="29"/>
    <w:rsid w:val="00F626B2"/>
    <w:rPr>
      <w:i/>
      <w:iCs/>
      <w:color w:val="404040" w:themeColor="text1" w:themeTint="BF"/>
    </w:rPr>
  </w:style>
  <w:style w:type="paragraph" w:styleId="ListParagraph">
    <w:name w:val="List Paragraph"/>
    <w:basedOn w:val="Normal"/>
    <w:uiPriority w:val="34"/>
    <w:qFormat/>
    <w:rsid w:val="00F626B2"/>
    <w:pPr>
      <w:ind w:left="720"/>
      <w:contextualSpacing/>
    </w:pPr>
  </w:style>
  <w:style w:type="character" w:styleId="IntenseEmphasis">
    <w:name w:val="Intense Emphasis"/>
    <w:basedOn w:val="DefaultParagraphFont"/>
    <w:uiPriority w:val="21"/>
    <w:qFormat/>
    <w:rsid w:val="00F626B2"/>
    <w:rPr>
      <w:i/>
      <w:iCs/>
      <w:color w:val="2E74B5" w:themeColor="accent1" w:themeShade="BF"/>
    </w:rPr>
  </w:style>
  <w:style w:type="paragraph" w:styleId="IntenseQuote">
    <w:name w:val="Intense Quote"/>
    <w:basedOn w:val="Normal"/>
    <w:next w:val="Normal"/>
    <w:link w:val="IntenseQuoteChar"/>
    <w:uiPriority w:val="30"/>
    <w:qFormat/>
    <w:rsid w:val="00F626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26B2"/>
    <w:rPr>
      <w:i/>
      <w:iCs/>
      <w:color w:val="2E74B5" w:themeColor="accent1" w:themeShade="BF"/>
    </w:rPr>
  </w:style>
  <w:style w:type="character" w:styleId="IntenseReference">
    <w:name w:val="Intense Reference"/>
    <w:basedOn w:val="DefaultParagraphFont"/>
    <w:uiPriority w:val="32"/>
    <w:qFormat/>
    <w:rsid w:val="00F626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