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F5A1" w14:textId="77777777" w:rsidR="008A2269" w:rsidRPr="008A2269" w:rsidRDefault="008A2269">
      <w:pPr>
        <w:rPr>
          <w:b/>
        </w:rPr>
      </w:pPr>
      <w:r w:rsidRPr="008A2269">
        <w:rPr>
          <w:b/>
        </w:rPr>
        <w:t>ALTAR - (mizbēa</w:t>
      </w:r>
      <w:r w:rsidRPr="008A2269">
        <w:rPr>
          <w:rFonts w:ascii="Calibri" w:hAnsi="Calibri" w:cs="Calibri"/>
          <w:b/>
        </w:rPr>
        <w:t>ḥ</w:t>
      </w:r>
      <w:r w:rsidRPr="008A2269">
        <w:rPr>
          <w:b/>
        </w:rPr>
        <w:t>, Strong's H4196)</w:t>
      </w:r>
    </w:p>
    <w:p w14:paraId="57393E0A" w14:textId="77777777" w:rsidR="008A2269" w:rsidRDefault="008A2269">
      <w:r w:rsidRPr="008A2269">
        <w:rPr>
          <w:b/>
        </w:rPr>
        <w:t>Summary:</w:t>
      </w:r>
    </w:p>
    <w:p w14:paraId="7E19C7EE" w14:textId="77777777" w:rsidR="008A2269" w:rsidRDefault="008A2269">
      <w:r>
        <w:t>In Exodus 21:14, the altar represents the ultimate place of divine sanctuary, a sacred space where even a person fleeing vengeance could normally find temporary protection. However, God establishes a crucial boundary for justice: the holy altar must not become a hiding place for a treacherous, premeditated murderer. By commanding that such a killer be dragged even from the altar to face execution, Scripture highlights the supreme value God places on human life and the absolute intolerance of deliberate bloodshed.</w:t>
      </w:r>
    </w:p>
    <w:p w14:paraId="355E2D5B" w14:textId="77777777" w:rsidR="008A2269" w:rsidRDefault="008A2269"/>
    <w:p w14:paraId="603EAE4F" w14:textId="77777777" w:rsidR="008A2269" w:rsidRDefault="008A2269">
      <w:r w:rsidRPr="008A2269">
        <w:rPr>
          <w:b/>
        </w:rPr>
        <w:t>Full Study:</w:t>
      </w:r>
    </w:p>
    <w:p w14:paraId="46AC9064" w14:textId="77777777" w:rsidR="008A2269" w:rsidRDefault="008A2269"/>
    <w:p w14:paraId="6A8A483D" w14:textId="77777777" w:rsidR="008A2269" w:rsidRPr="008A2269" w:rsidRDefault="008A2269">
      <w:pPr>
        <w:rPr>
          <w:b/>
        </w:rPr>
      </w:pPr>
      <w:r w:rsidRPr="008A2269">
        <w:rPr>
          <w:b/>
        </w:rPr>
        <w:t>1. Word Picture / Background</w:t>
      </w:r>
    </w:p>
    <w:p w14:paraId="1B732A44" w14:textId="77777777" w:rsidR="008A2269" w:rsidRDefault="008A2269">
      <w:r>
        <w:t>The Hebrew noun mizbēa</w:t>
      </w:r>
      <w:r>
        <w:rPr>
          <w:rFonts w:ascii="Calibri" w:hAnsi="Calibri" w:cs="Calibri"/>
        </w:rPr>
        <w:t>ḥ</w:t>
      </w:r>
      <w:r>
        <w:t xml:space="preserve"> is derived from the verb zāba</w:t>
      </w:r>
      <w:r>
        <w:rPr>
          <w:rFonts w:ascii="Calibri" w:hAnsi="Calibri" w:cs="Calibri"/>
        </w:rPr>
        <w:t>ḥ</w:t>
      </w:r>
      <w:r>
        <w:t>, which means "to slaughter" or "to sacrifice." Literally, an altar is a "place of slaughter" or "place of sacrifice." In the ancient world, altars were not merely tables for religious ceremonies; they were elevated structures where animal lives were surrendered to a deity. Because the altar was the localized point of contact between heaven and earth, it was viewed as highly sacred and charged with divine presence. Consequently, ancient Near Eastern cultures widely recognized the altar as a place of asylum, where a fugitive could seek protection under the deity's patronage.</w:t>
      </w:r>
    </w:p>
    <w:p w14:paraId="451FDC8D" w14:textId="77777777" w:rsidR="008A2269" w:rsidRDefault="008A2269"/>
    <w:p w14:paraId="708968F3" w14:textId="77777777" w:rsidR="008A2269" w:rsidRPr="008A2269" w:rsidRDefault="008A2269">
      <w:pPr>
        <w:rPr>
          <w:b/>
        </w:rPr>
      </w:pPr>
      <w:r w:rsidRPr="008A2269">
        <w:rPr>
          <w:b/>
        </w:rPr>
        <w:t>2. Meaning / Lexical Definition</w:t>
      </w:r>
    </w:p>
    <w:p w14:paraId="1731615E" w14:textId="77777777" w:rsidR="008A2269" w:rsidRDefault="008A2269">
      <w:r>
        <w:t>A mizbēa</w:t>
      </w:r>
      <w:r>
        <w:rPr>
          <w:rFonts w:ascii="Calibri" w:hAnsi="Calibri" w:cs="Calibri"/>
        </w:rPr>
        <w:t>ḥ</w:t>
      </w:r>
      <w:r>
        <w:t xml:space="preserve"> is a raised structure made of earth, unhewn stones, bronze, or gold-plated wood, upon which sacrifices are burned or incense is offered to God. Lexically, the term refers to the place of slaughter and sacrificial offering. While the word can refer to the golden altar of incense inside the Tabernacle, its primary and most frequent use denotes the bronze altar of burnt offering located in the outer courtyard. It was this sacrificial altar whose horns offered physical handholds for those seeking asylum.</w:t>
      </w:r>
    </w:p>
    <w:p w14:paraId="76856064" w14:textId="77777777" w:rsidR="008A2269" w:rsidRDefault="008A2269"/>
    <w:p w14:paraId="3F3B6289" w14:textId="77777777" w:rsidR="008A2269" w:rsidRPr="008A2269" w:rsidRDefault="008A2269">
      <w:pPr>
        <w:rPr>
          <w:b/>
        </w:rPr>
      </w:pPr>
      <w:r w:rsidRPr="008A2269">
        <w:rPr>
          <w:b/>
        </w:rPr>
        <w:t>3. Usage and Word Pictures</w:t>
      </w:r>
    </w:p>
    <w:p w14:paraId="5CAFA464" w14:textId="77777777" w:rsidR="008A2269" w:rsidRDefault="008A2269">
      <w:r>
        <w:t>The linguistic connection to "slaughter" is vital. The altar is a place of death that produces life and reconciliation. In Hebrew thought, the blood of the sacrifice contains the life of the animal. Dashing or sprinkling this blood against the mizbēa</w:t>
      </w:r>
      <w:r>
        <w:rPr>
          <w:rFonts w:ascii="Calibri" w:hAnsi="Calibri" w:cs="Calibri"/>
        </w:rPr>
        <w:t>ḥ</w:t>
      </w:r>
      <w:r>
        <w:t xml:space="preserve"> symbolizes the presentation of that life to God. The altar also features "horns" (qarnôt) at its four corners. In biblical imagery, horns represent strength, refuge, and salvation. To grasp the horns of the altar was to make a desperate appeal to God's mercy and power for protection.</w:t>
      </w:r>
    </w:p>
    <w:p w14:paraId="67E397C5" w14:textId="77777777" w:rsidR="008A2269" w:rsidRDefault="008A2269"/>
    <w:p w14:paraId="05CA2DD1" w14:textId="77777777" w:rsidR="008A2269" w:rsidRPr="008A2269" w:rsidRDefault="008A2269">
      <w:pPr>
        <w:rPr>
          <w:b/>
        </w:rPr>
      </w:pPr>
      <w:r w:rsidRPr="008A2269">
        <w:rPr>
          <w:b/>
        </w:rPr>
        <w:t>4. Theological Implications</w:t>
      </w:r>
    </w:p>
    <w:p w14:paraId="5933ECDD" w14:textId="77777777" w:rsidR="008A2269" w:rsidRDefault="008A2269">
      <w:r>
        <w:t>The theology of the altar centers on substitution, mediation, and holiness. It is the designated site where sinful humans can approach a holy God through an innocent substitute. In Exodus 21:14, the theological tension between the sanctity of the altar and the sanctity of human life is resolved. Human life is made in the image of God. Therefore, the premeditated murder of a human being is such a severe violation of God's image that not even His own sacred altar can be used to harbor or shield the guilty party. The demand for justice for the victim supersedes the ritual protection of the sanctuary.</w:t>
      </w:r>
    </w:p>
    <w:p w14:paraId="43E7F205" w14:textId="77777777" w:rsidR="008A2269" w:rsidRDefault="008A2269"/>
    <w:p w14:paraId="105178AE" w14:textId="77777777" w:rsidR="008A2269" w:rsidRPr="008A2269" w:rsidRDefault="008A2269">
      <w:pPr>
        <w:rPr>
          <w:b/>
        </w:rPr>
      </w:pPr>
      <w:r w:rsidRPr="008A2269">
        <w:rPr>
          <w:b/>
        </w:rPr>
        <w:t>5. Contextual Nuance in the Passage</w:t>
      </w:r>
    </w:p>
    <w:p w14:paraId="281F201A" w14:textId="77777777" w:rsidR="008A2269" w:rsidRDefault="008A2269">
      <w:r>
        <w:t>In the context of the Covenant Code (Exodus 21–23), God distinguishes between accidental manslaughter and premeditated murder. For accidental death, God promises to appoint a place of safety (which later developed into the cities of refuge). For premeditated murder ("if a man acts deliberately... to slay him by treachery"), no such protection exists. The killer might flee to the Tabernacle courtyard and grasp the horns of the altar, hoping the sanctity of the location will deter the avenger of blood. God explicitly strips away this loophole: "you shall take him from My altar, that he may die." Sacred space cannot sanitize or excuse willful wickedness.</w:t>
      </w:r>
    </w:p>
    <w:p w14:paraId="443EABBB" w14:textId="77777777" w:rsidR="008A2269" w:rsidRDefault="008A2269"/>
    <w:p w14:paraId="7890C399" w14:textId="77777777" w:rsidR="008A2269" w:rsidRPr="008A2269" w:rsidRDefault="008A2269">
      <w:pPr>
        <w:rPr>
          <w:b/>
        </w:rPr>
      </w:pPr>
      <w:r w:rsidRPr="008A2269">
        <w:rPr>
          <w:b/>
        </w:rPr>
        <w:t>6. Key Uses in Other Verses (NKJV)</w:t>
      </w:r>
    </w:p>
    <w:p w14:paraId="1816D838" w14:textId="77777777" w:rsidR="008A2269" w:rsidRDefault="008A2269">
      <w:r>
        <w:t>• Genesis 8:20: "Then Noah built an altar to the LORD, and took of every clean animal and of every clean bird, and offered burnt offerings on the altar."</w:t>
      </w:r>
    </w:p>
    <w:p w14:paraId="05B519CA" w14:textId="77777777" w:rsidR="008A2269" w:rsidRDefault="008A2269">
      <w:r>
        <w:t>• Genesis 22:9: "Then they came to the place of which God had told him. And Abraham built an altar there and placed the wood in order; and he bound Isaac his son and laid him on the altar, upon the wood."</w:t>
      </w:r>
    </w:p>
    <w:p w14:paraId="2EEC51DB" w14:textId="77777777" w:rsidR="008A2269" w:rsidRDefault="008A2269">
      <w:r>
        <w:t>• Exodus 27:1: "You shall make an altar of acacia wood, five cubits long and five cubits wide—the altar shall be square—and its height shall be three cubits."</w:t>
      </w:r>
    </w:p>
    <w:p w14:paraId="78EADDC3" w14:textId="77777777" w:rsidR="008A2269" w:rsidRDefault="008A2269">
      <w:r>
        <w:t>• 1 Kings 2:28: "Then news came to Joab... So Joab fled to the tabernacle of the LORD, and took hold of the horns of the altar."</w:t>
      </w:r>
    </w:p>
    <w:p w14:paraId="76887072" w14:textId="77777777" w:rsidR="008A2269" w:rsidRDefault="008A2269"/>
    <w:p w14:paraId="488CE9BC" w14:textId="77777777" w:rsidR="008A2269" w:rsidRPr="008A2269" w:rsidRDefault="008A2269">
      <w:pPr>
        <w:rPr>
          <w:b/>
        </w:rPr>
      </w:pPr>
      <w:r w:rsidRPr="008A2269">
        <w:rPr>
          <w:b/>
        </w:rPr>
        <w:t>7. Other Relevant Insights</w:t>
      </w:r>
    </w:p>
    <w:p w14:paraId="5CAC0EE5" w14:textId="77777777" w:rsidR="008A2269" w:rsidRDefault="008A2269">
      <w:r>
        <w:t>The historical execution of Exodus 21:14 is vividly illustrated in the lives of Adonijah and Joab in 1 Kings. Adonijah fled to the altar in fear of Solomon and was spared because his offense was not premeditated murder (1 Kings 1:50-53). However, when Joab—who had treacherously murdered Abner and Amasa—fled to the Tabernacle and grabbed the horns of the altar, Solomon ordered his execution right there at the altar in direct fulfillment of the principle established in Exodus 21:14 (1 Kings 2:28-34).</w:t>
      </w:r>
    </w:p>
    <w:p w14:paraId="39C88182" w14:textId="77777777" w:rsidR="008A2269" w:rsidRDefault="008A2269"/>
    <w:p w14:paraId="6356730A" w14:textId="77777777" w:rsidR="008A2269" w:rsidRPr="008A2269" w:rsidRDefault="008A2269">
      <w:pPr>
        <w:rPr>
          <w:b/>
        </w:rPr>
      </w:pPr>
      <w:r w:rsidRPr="008A2269">
        <w:rPr>
          <w:b/>
        </w:rPr>
        <w:t>8. References</w:t>
      </w:r>
    </w:p>
    <w:p w14:paraId="344EDA36" w14:textId="77777777" w:rsidR="008A2269" w:rsidRDefault="008A2269">
      <w:r>
        <w:t>• Brown, Francis, S.R. Driver, and Charles A. Briggs. Standard Hebrew and English Lexicon.</w:t>
      </w:r>
    </w:p>
    <w:p w14:paraId="5D1D0851" w14:textId="77777777" w:rsidR="008A2269" w:rsidRDefault="008A2269">
      <w:r>
        <w:t>• Harris, R. Laird, Gleason L. Archer Jr., and Bruce K. Waltke. Theological Wordbook of the Old Testament.</w:t>
      </w:r>
    </w:p>
    <w:p w14:paraId="2C5DA883" w14:textId="77777777" w:rsidR="008A2269" w:rsidRDefault="008A2269">
      <w:r>
        <w:t>• Koehler, Ludwig, and Walter Baumgartner. The Hebrew and Aramaic Lexicon of the Old Testament.</w:t>
      </w:r>
    </w:p>
    <w:p w14:paraId="4808E1B1" w14:textId="20168215" w:rsidR="004C5552" w:rsidRDefault="008A226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226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1F7B"/>
  <w15:chartTrackingRefBased/>
  <w15:docId w15:val="{E1978D16-AF3B-4FF2-AC43-89616164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69"/>
    <w:rPr>
      <w:rFonts w:eastAsiaTheme="majorEastAsia" w:cstheme="majorBidi"/>
      <w:color w:val="272727" w:themeColor="text1" w:themeTint="D8"/>
    </w:rPr>
  </w:style>
  <w:style w:type="paragraph" w:styleId="Title">
    <w:name w:val="Title"/>
    <w:basedOn w:val="Normal"/>
    <w:next w:val="Normal"/>
    <w:link w:val="TitleChar"/>
    <w:uiPriority w:val="10"/>
    <w:qFormat/>
    <w:rsid w:val="008A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69"/>
    <w:pPr>
      <w:spacing w:before="160"/>
      <w:jc w:val="center"/>
    </w:pPr>
    <w:rPr>
      <w:i/>
      <w:iCs/>
      <w:color w:val="404040" w:themeColor="text1" w:themeTint="BF"/>
    </w:rPr>
  </w:style>
  <w:style w:type="character" w:customStyle="1" w:styleId="QuoteChar">
    <w:name w:val="Quote Char"/>
    <w:basedOn w:val="DefaultParagraphFont"/>
    <w:link w:val="Quote"/>
    <w:uiPriority w:val="29"/>
    <w:rsid w:val="008A2269"/>
    <w:rPr>
      <w:i/>
      <w:iCs/>
      <w:color w:val="404040" w:themeColor="text1" w:themeTint="BF"/>
    </w:rPr>
  </w:style>
  <w:style w:type="paragraph" w:styleId="ListParagraph">
    <w:name w:val="List Paragraph"/>
    <w:basedOn w:val="Normal"/>
    <w:uiPriority w:val="34"/>
    <w:qFormat/>
    <w:rsid w:val="008A2269"/>
    <w:pPr>
      <w:ind w:left="720"/>
      <w:contextualSpacing/>
    </w:pPr>
  </w:style>
  <w:style w:type="character" w:styleId="IntenseEmphasis">
    <w:name w:val="Intense Emphasis"/>
    <w:basedOn w:val="DefaultParagraphFont"/>
    <w:uiPriority w:val="21"/>
    <w:qFormat/>
    <w:rsid w:val="008A2269"/>
    <w:rPr>
      <w:i/>
      <w:iCs/>
      <w:color w:val="2E74B5" w:themeColor="accent1" w:themeShade="BF"/>
    </w:rPr>
  </w:style>
  <w:style w:type="paragraph" w:styleId="IntenseQuote">
    <w:name w:val="Intense Quote"/>
    <w:basedOn w:val="Normal"/>
    <w:next w:val="Normal"/>
    <w:link w:val="IntenseQuoteChar"/>
    <w:uiPriority w:val="30"/>
    <w:qFormat/>
    <w:rsid w:val="008A22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2269"/>
    <w:rPr>
      <w:i/>
      <w:iCs/>
      <w:color w:val="2E74B5" w:themeColor="accent1" w:themeShade="BF"/>
    </w:rPr>
  </w:style>
  <w:style w:type="character" w:styleId="IntenseReference">
    <w:name w:val="Intense Reference"/>
    <w:basedOn w:val="DefaultParagraphFont"/>
    <w:uiPriority w:val="32"/>
    <w:qFormat/>
    <w:rsid w:val="008A22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