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F680" w14:textId="77777777" w:rsidR="009E5A4D" w:rsidRPr="009E5A4D" w:rsidRDefault="009E5A4D">
      <w:pPr>
        <w:rPr>
          <w:b/>
        </w:rPr>
      </w:pPr>
      <w:r w:rsidRPr="009E5A4D">
        <w:rPr>
          <w:b/>
        </w:rPr>
        <w:t>PUNISHED - ( naqam , Strong's H5358 )</w:t>
      </w:r>
    </w:p>
    <w:p w14:paraId="5DD6C2F0" w14:textId="77777777" w:rsidR="009E5A4D" w:rsidRDefault="009E5A4D">
      <w:r w:rsidRPr="009E5A4D">
        <w:rPr>
          <w:b/>
        </w:rPr>
        <w:t>Summary:</w:t>
      </w:r>
    </w:p>
    <w:p w14:paraId="2A2E65F7" w14:textId="77777777" w:rsidR="009E5A4D" w:rsidRDefault="009E5A4D">
      <w:r>
        <w:t>The Hebrew verb naqam refers to the execution of righteous retribution, justice, or vengeance. In Exodus 21:20, the emphatic double construction (naqom yinnaqem) declares that if a master beats a servant to death, justice must surely be enacted. In an ancient Near Eastern cultural context where slaves were often treated as disposable property, this term reveals God's revolutionary protection of the vulnerable, asserting that every human life—regardless of social status—is sacred and accountable to divine law.</w:t>
      </w:r>
    </w:p>
    <w:p w14:paraId="1A9C84C7" w14:textId="77777777" w:rsidR="009E5A4D" w:rsidRDefault="009E5A4D"/>
    <w:p w14:paraId="396A1874" w14:textId="77777777" w:rsidR="009E5A4D" w:rsidRDefault="009E5A4D">
      <w:r w:rsidRPr="009E5A4D">
        <w:rPr>
          <w:b/>
        </w:rPr>
        <w:t>Full Study:</w:t>
      </w:r>
    </w:p>
    <w:p w14:paraId="3F627EEF" w14:textId="77777777" w:rsidR="009E5A4D" w:rsidRDefault="009E5A4D"/>
    <w:p w14:paraId="3498A257" w14:textId="77777777" w:rsidR="009E5A4D" w:rsidRPr="009E5A4D" w:rsidRDefault="009E5A4D">
      <w:pPr>
        <w:rPr>
          <w:b/>
        </w:rPr>
      </w:pPr>
      <w:r w:rsidRPr="009E5A4D">
        <w:rPr>
          <w:b/>
        </w:rPr>
        <w:t xml:space="preserve"> 1. Word Picture / Background</w:t>
      </w:r>
    </w:p>
    <w:p w14:paraId="7AC7CE3C" w14:textId="77777777" w:rsidR="009E5A4D" w:rsidRDefault="009E5A4D">
      <w:r>
        <w:t>In the ancient world, personal vengeance was often a cycle of blood feuds and lawless escalation. The biblical concept of naqam, however, reclaims vengeance as the exclusive right of a legitimate authority, primarily Yahweh Himself or the legal system acting on His behalf. Rather than reflecting uncontrolled rage, naqam represents the enforcement of covenant boundaries and the restoration of moral order when those boundaries are violated.</w:t>
      </w:r>
    </w:p>
    <w:p w14:paraId="4FBAEC82" w14:textId="77777777" w:rsidR="009E5A4D" w:rsidRDefault="009E5A4D"/>
    <w:p w14:paraId="70DBA5CD" w14:textId="77777777" w:rsidR="009E5A4D" w:rsidRPr="009E5A4D" w:rsidRDefault="009E5A4D">
      <w:pPr>
        <w:rPr>
          <w:b/>
        </w:rPr>
      </w:pPr>
      <w:r w:rsidRPr="009E5A4D">
        <w:rPr>
          <w:b/>
        </w:rPr>
        <w:t xml:space="preserve"> 2. Meaning / Lexical Definition</w:t>
      </w:r>
    </w:p>
    <w:p w14:paraId="0A70E3F9" w14:textId="77777777" w:rsidR="009E5A4D" w:rsidRDefault="009E5A4D">
      <w:r>
        <w:t>The Hebrew verb naqam means to avenge, take vengeance, or punish. In Exodus 21:20, the text employs an intensive grammatical device: the Qal infinitive absolute (naqom) paired with the Niphal imperfect (yinnaqem). This construction emphasizes the absolute certainty of the action: "he shall surely be punished" or "vengeance shall surely be taken." The primary focus is the execution of legal retribution for a capital offense.</w:t>
      </w:r>
    </w:p>
    <w:p w14:paraId="4E40C8EE" w14:textId="77777777" w:rsidR="009E5A4D" w:rsidRDefault="009E5A4D"/>
    <w:p w14:paraId="150FE885" w14:textId="77777777" w:rsidR="009E5A4D" w:rsidRPr="009E5A4D" w:rsidRDefault="009E5A4D">
      <w:pPr>
        <w:rPr>
          <w:b/>
        </w:rPr>
      </w:pPr>
      <w:r w:rsidRPr="009E5A4D">
        <w:rPr>
          <w:b/>
        </w:rPr>
        <w:t xml:space="preserve"> 3. Usage and Word Pictures</w:t>
      </w:r>
    </w:p>
    <w:p w14:paraId="2A9B4A2A" w14:textId="77777777" w:rsidR="009E5A4D" w:rsidRDefault="009E5A4D">
      <w:r>
        <w:t>Scripture portrays naqam not as human spite, but as a divine attribute of justice. When humans attempt to take personal vengeance, they usurp God's role, which is why the law forbids personal retaliation (Leviticus 19:18). Instead, naqam is the duty of the community's legal judges or God Himself to vindicate the wronged. It functions as a legal word picture: a rightful authority stepping in to champion the cause of those who cannot defend themselves, ensuring that crime does not go unanswered.</w:t>
      </w:r>
    </w:p>
    <w:p w14:paraId="13831043" w14:textId="77777777" w:rsidR="009E5A4D" w:rsidRDefault="009E5A4D"/>
    <w:p w14:paraId="5AA9B4C4" w14:textId="77777777" w:rsidR="009E5A4D" w:rsidRPr="009E5A4D" w:rsidRDefault="009E5A4D">
      <w:pPr>
        <w:rPr>
          <w:b/>
        </w:rPr>
      </w:pPr>
      <w:r w:rsidRPr="009E5A4D">
        <w:rPr>
          <w:b/>
        </w:rPr>
        <w:t xml:space="preserve"> 4. Theological Implications</w:t>
      </w:r>
    </w:p>
    <w:p w14:paraId="09B23AAF" w14:textId="77777777" w:rsidR="009E5A4D" w:rsidRDefault="009E5A4D">
      <w:r>
        <w:t>The theological weight of naqam in this passage is immense. It stands as a direct contradiction to the pagan laws of the surrounding nations, which did not hold masters criminally liable for the lives of their slaves. By demanding naqam for the death of a servant, God establishes that servants are human beings bearing the divine image, not mere property. This reveals a theology of universal human dignity and underscores that God's justice is impartial, holding even the powerful accountable for their treatment of the powerless.</w:t>
      </w:r>
    </w:p>
    <w:p w14:paraId="361CD32A" w14:textId="77777777" w:rsidR="009E5A4D" w:rsidRDefault="009E5A4D"/>
    <w:p w14:paraId="788FDC66" w14:textId="77777777" w:rsidR="009E5A4D" w:rsidRPr="009E5A4D" w:rsidRDefault="009E5A4D">
      <w:pPr>
        <w:rPr>
          <w:b/>
        </w:rPr>
      </w:pPr>
      <w:r w:rsidRPr="009E5A4D">
        <w:rPr>
          <w:b/>
        </w:rPr>
        <w:t xml:space="preserve"> 5. Contextual Nuance in the Passage</w:t>
      </w:r>
    </w:p>
    <w:p w14:paraId="283CA479" w14:textId="77777777" w:rsidR="009E5A4D" w:rsidRDefault="009E5A4D">
      <w:r>
        <w:t>In the immediate context of Exodus 21:20, the punishment (naqam) refers to the death penalty. If a master beats a servant and the servant dies immediately ("under his hand"), it is treated as murder, and the master must face capital punishment. Verse 21 provides a practical distinction: if the servant survives a day or two, the master is not executed, as the delay suggests there was no premeditated intent to kill, and the loss of the servant's labor serves as a significant self-inflicted financial penalty. Thus, naqam in verse 20 acts as a legal safeguard, drawing a sharp line against fatal abuse.</w:t>
      </w:r>
    </w:p>
    <w:p w14:paraId="4334FDC4" w14:textId="77777777" w:rsidR="009E5A4D" w:rsidRDefault="009E5A4D"/>
    <w:p w14:paraId="61FA2BCA" w14:textId="77777777" w:rsidR="009E5A4D" w:rsidRPr="009E5A4D" w:rsidRDefault="009E5A4D">
      <w:pPr>
        <w:rPr>
          <w:b/>
        </w:rPr>
      </w:pPr>
      <w:r w:rsidRPr="009E5A4D">
        <w:rPr>
          <w:b/>
        </w:rPr>
        <w:t xml:space="preserve"> 6. Key Uses in Other Verses (NKJV)</w:t>
      </w:r>
    </w:p>
    <w:p w14:paraId="56909624" w14:textId="77777777" w:rsidR="009E5A4D" w:rsidRDefault="009E5A4D">
      <w:r>
        <w:t>• Genesis 4:24 - "If Cain shall be avenged sevenfold, Then Lamech seventy-sevenfold."</w:t>
      </w:r>
    </w:p>
    <w:p w14:paraId="470EAC1F" w14:textId="77777777" w:rsidR="009E5A4D" w:rsidRDefault="009E5A4D">
      <w:r>
        <w:t>• Exodus 21:21 - "Notwithstanding, if he remains a day or two, he shall not be punished; for he is his property."</w:t>
      </w:r>
    </w:p>
    <w:p w14:paraId="7BC72403" w14:textId="77777777" w:rsidR="009E5A4D" w:rsidRDefault="009E5A4D">
      <w:r>
        <w:t>• Leviticus 19:18 - "You shall not take vengeance, nor bear any grudge against the children of your people..."</w:t>
      </w:r>
    </w:p>
    <w:p w14:paraId="7C8F35ED" w14:textId="77777777" w:rsidR="009E5A4D" w:rsidRDefault="009E5A4D">
      <w:r>
        <w:t>• Deuteronomy 32:43 - "...For He will avenge the blood of His servants, And render vengeance to His adversaries..."</w:t>
      </w:r>
    </w:p>
    <w:p w14:paraId="6FFB482B" w14:textId="77777777" w:rsidR="009E5A4D" w:rsidRDefault="009E5A4D">
      <w:r>
        <w:t>• Joshua 10:13 - "So the sun stood still, And the moon stopped, Till the people had avenged themselves upon their enemies."</w:t>
      </w:r>
    </w:p>
    <w:p w14:paraId="78B5F097" w14:textId="77777777" w:rsidR="009E5A4D" w:rsidRDefault="009E5A4D"/>
    <w:p w14:paraId="6A37DAE3" w14:textId="77777777" w:rsidR="009E5A4D" w:rsidRPr="009E5A4D" w:rsidRDefault="009E5A4D">
      <w:pPr>
        <w:rPr>
          <w:b/>
        </w:rPr>
      </w:pPr>
      <w:r w:rsidRPr="009E5A4D">
        <w:rPr>
          <w:b/>
        </w:rPr>
        <w:t xml:space="preserve"> 7. Other Relevant Insights</w:t>
      </w:r>
    </w:p>
    <w:p w14:paraId="40427736" w14:textId="77777777" w:rsidR="009E5A4D" w:rsidRDefault="009E5A4D">
      <w:r>
        <w:t>The Septuagint renders the Hebrew phrase in Exodus 21:20 as dike ekdikestho, which literally means "with justice let him be punished." This Greek translation highlights that the early Jewish translators understood naqam not as an act of emotional revenge, but as the execution of formal, structured legal justice.</w:t>
      </w:r>
    </w:p>
    <w:p w14:paraId="5A2611B9" w14:textId="77777777" w:rsidR="009E5A4D" w:rsidRDefault="009E5A4D"/>
    <w:p w14:paraId="0F4DC6B3" w14:textId="77777777" w:rsidR="009E5A4D" w:rsidRPr="009E5A4D" w:rsidRDefault="009E5A4D">
      <w:pPr>
        <w:rPr>
          <w:b/>
        </w:rPr>
      </w:pPr>
      <w:r w:rsidRPr="009E5A4D">
        <w:rPr>
          <w:b/>
        </w:rPr>
        <w:t xml:space="preserve"> 8. References</w:t>
      </w:r>
    </w:p>
    <w:p w14:paraId="00AF69C1" w14:textId="77777777" w:rsidR="009E5A4D" w:rsidRDefault="009E5A4D">
      <w:r>
        <w:t>• Brown, Driver, Briggs Hebrew and English Lexicon</w:t>
      </w:r>
    </w:p>
    <w:p w14:paraId="090EFB8A" w14:textId="77777777" w:rsidR="009E5A4D" w:rsidRDefault="009E5A4D">
      <w:r>
        <w:t>• Hebrew and Aramaic Lexicon of the Old Testament by Ludwig Koehler and Walter Baumgartner</w:t>
      </w:r>
    </w:p>
    <w:p w14:paraId="5FE25A9C" w14:textId="77777777" w:rsidR="009E5A4D" w:rsidRDefault="009E5A4D">
      <w:r>
        <w:t>• Theological Wordbook of the Old Testament edited by R. Laird Harris, Gleason L. Archer Jr., and Bruce K. Waltke</w:t>
      </w:r>
    </w:p>
    <w:p w14:paraId="65D06F93" w14:textId="77777777" w:rsidR="009E5A4D" w:rsidRDefault="009E5A4D">
      <w:r>
        <w:t>• New International Dictionary of Old Testament Theology and Exegesis edited by Willem A. VanGemeren</w:t>
      </w:r>
    </w:p>
    <w:p w14:paraId="1454B099" w14:textId="4B9BF3D6" w:rsidR="004C5552" w:rsidRDefault="009E5A4D">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A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E5A4D"/>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F3E7"/>
  <w15:chartTrackingRefBased/>
  <w15:docId w15:val="{4EC2C519-E232-4326-8ACA-10E0E61C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5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A4D"/>
    <w:rPr>
      <w:rFonts w:eastAsiaTheme="majorEastAsia" w:cstheme="majorBidi"/>
      <w:color w:val="272727" w:themeColor="text1" w:themeTint="D8"/>
    </w:rPr>
  </w:style>
  <w:style w:type="paragraph" w:styleId="Title">
    <w:name w:val="Title"/>
    <w:basedOn w:val="Normal"/>
    <w:next w:val="Normal"/>
    <w:link w:val="TitleChar"/>
    <w:uiPriority w:val="10"/>
    <w:qFormat/>
    <w:rsid w:val="009E5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A4D"/>
    <w:pPr>
      <w:spacing w:before="160"/>
      <w:jc w:val="center"/>
    </w:pPr>
    <w:rPr>
      <w:i/>
      <w:iCs/>
      <w:color w:val="404040" w:themeColor="text1" w:themeTint="BF"/>
    </w:rPr>
  </w:style>
  <w:style w:type="character" w:customStyle="1" w:styleId="QuoteChar">
    <w:name w:val="Quote Char"/>
    <w:basedOn w:val="DefaultParagraphFont"/>
    <w:link w:val="Quote"/>
    <w:uiPriority w:val="29"/>
    <w:rsid w:val="009E5A4D"/>
    <w:rPr>
      <w:i/>
      <w:iCs/>
      <w:color w:val="404040" w:themeColor="text1" w:themeTint="BF"/>
    </w:rPr>
  </w:style>
  <w:style w:type="paragraph" w:styleId="ListParagraph">
    <w:name w:val="List Paragraph"/>
    <w:basedOn w:val="Normal"/>
    <w:uiPriority w:val="34"/>
    <w:qFormat/>
    <w:rsid w:val="009E5A4D"/>
    <w:pPr>
      <w:ind w:left="720"/>
      <w:contextualSpacing/>
    </w:pPr>
  </w:style>
  <w:style w:type="character" w:styleId="IntenseEmphasis">
    <w:name w:val="Intense Emphasis"/>
    <w:basedOn w:val="DefaultParagraphFont"/>
    <w:uiPriority w:val="21"/>
    <w:qFormat/>
    <w:rsid w:val="009E5A4D"/>
    <w:rPr>
      <w:i/>
      <w:iCs/>
      <w:color w:val="2E74B5" w:themeColor="accent1" w:themeShade="BF"/>
    </w:rPr>
  </w:style>
  <w:style w:type="paragraph" w:styleId="IntenseQuote">
    <w:name w:val="Intense Quote"/>
    <w:basedOn w:val="Normal"/>
    <w:next w:val="Normal"/>
    <w:link w:val="IntenseQuoteChar"/>
    <w:uiPriority w:val="30"/>
    <w:qFormat/>
    <w:rsid w:val="009E5A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5A4D"/>
    <w:rPr>
      <w:i/>
      <w:iCs/>
      <w:color w:val="2E74B5" w:themeColor="accent1" w:themeShade="BF"/>
    </w:rPr>
  </w:style>
  <w:style w:type="character" w:styleId="IntenseReference">
    <w:name w:val="Intense Reference"/>
    <w:basedOn w:val="DefaultParagraphFont"/>
    <w:uiPriority w:val="32"/>
    <w:qFormat/>
    <w:rsid w:val="009E5A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2026-08-14T10:00:00Z</dcterms:modified>
</cp:coreProperties>
</file>