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5831" w14:textId="77777777" w:rsidR="00F70F29" w:rsidRPr="00F70F29" w:rsidRDefault="00F70F29">
      <w:pPr>
        <w:rPr>
          <w:b/>
        </w:rPr>
      </w:pPr>
      <w:r w:rsidRPr="00F70F29">
        <w:rPr>
          <w:b/>
        </w:rPr>
        <w:t>AWL - ( marqat , Strong's H4836 )</w:t>
      </w:r>
    </w:p>
    <w:p w14:paraId="4CE1824A" w14:textId="77777777" w:rsidR="00F70F29" w:rsidRDefault="00F70F29">
      <w:r w:rsidRPr="00F70F29">
        <w:rPr>
          <w:b/>
        </w:rPr>
        <w:t>Summary:</w:t>
      </w:r>
    </w:p>
    <w:p w14:paraId="18763E9D" w14:textId="77777777" w:rsidR="00F70F29" w:rsidRDefault="00F70F29">
      <w:r>
        <w:t>The Hebrew noun marqat refers to a pointed piercing instrument, specifically an awl used in leatherworking. In its sole biblical appearance in Exodus 21:6, it becomes the instrument of a profound voluntary act, symbolizing a servant's permanent devotion to his master and household.</w:t>
      </w:r>
    </w:p>
    <w:p w14:paraId="1C11C14A" w14:textId="77777777" w:rsidR="00F70F29" w:rsidRDefault="00F70F29"/>
    <w:p w14:paraId="1F7BE258" w14:textId="77777777" w:rsidR="00F70F29" w:rsidRDefault="00F70F29">
      <w:r w:rsidRPr="00F70F29">
        <w:rPr>
          <w:b/>
        </w:rPr>
        <w:t>Full Study:</w:t>
      </w:r>
    </w:p>
    <w:p w14:paraId="1C5D9627" w14:textId="77777777" w:rsidR="00F70F29" w:rsidRDefault="00F70F29"/>
    <w:p w14:paraId="77F95968" w14:textId="77777777" w:rsidR="00F70F29" w:rsidRPr="00F70F29" w:rsidRDefault="00F70F29">
      <w:pPr>
        <w:rPr>
          <w:b/>
        </w:rPr>
      </w:pPr>
      <w:r w:rsidRPr="00F70F29">
        <w:rPr>
          <w:b/>
        </w:rPr>
        <w:t>1. Word Picture / Background</w:t>
      </w:r>
    </w:p>
    <w:p w14:paraId="1DDD3C30" w14:textId="77777777" w:rsidR="00F70F29" w:rsidRDefault="00F70F29">
      <w:r>
        <w:t xml:space="preserve">- Derived from a root meaning to pierce, bore, or punch a hole, marqat brings the tangible, gritty reality of the ancient workshop directly into the legal and covenantal framework of Israel. </w:t>
      </w:r>
    </w:p>
    <w:p w14:paraId="71924F0E" w14:textId="77777777" w:rsidR="00F70F29" w:rsidRDefault="00F70F29">
      <w:r>
        <w:t xml:space="preserve">- In the ancient Near East, an awl was a common tool utilized by artisans and leatherworkers to puncture tough hides before sewing them together. </w:t>
      </w:r>
    </w:p>
    <w:p w14:paraId="5E6751F0" w14:textId="77777777" w:rsidR="00F70F29" w:rsidRDefault="00F70F29">
      <w:r>
        <w:t>- The domestic setting of the Hebrew household transforms this utilitarian shop tool into a poignant symbol of lifelong relational commitment.</w:t>
      </w:r>
    </w:p>
    <w:p w14:paraId="128FC3A1" w14:textId="77777777" w:rsidR="00F70F29" w:rsidRDefault="00F70F29"/>
    <w:p w14:paraId="2142DCD6" w14:textId="77777777" w:rsidR="00F70F29" w:rsidRPr="00F70F29" w:rsidRDefault="00F70F29">
      <w:pPr>
        <w:rPr>
          <w:b/>
        </w:rPr>
      </w:pPr>
      <w:r w:rsidRPr="00F70F29">
        <w:rPr>
          <w:b/>
        </w:rPr>
        <w:t>2. Meaning / Lexical Definition</w:t>
      </w:r>
    </w:p>
    <w:p w14:paraId="406161E9" w14:textId="77777777" w:rsidR="00F70F29" w:rsidRDefault="00F70F29">
      <w:r>
        <w:t>- The term denotes an awl, bodkin, or piercing tool.</w:t>
      </w:r>
    </w:p>
    <w:p w14:paraId="6387E3E1" w14:textId="77777777" w:rsidR="00F70F29" w:rsidRDefault="00F70F29">
      <w:r>
        <w:t>- It is strictly an instrument used for making holes in hard materials such as leather or wood.</w:t>
      </w:r>
    </w:p>
    <w:p w14:paraId="3AA7FE42" w14:textId="77777777" w:rsidR="00F70F29" w:rsidRDefault="00F70F29">
      <w:r>
        <w:t>- The semantic range is narrow and specific, tied entirely to the mechanical action of piercing.</w:t>
      </w:r>
    </w:p>
    <w:p w14:paraId="654024C2" w14:textId="77777777" w:rsidR="00F70F29" w:rsidRDefault="00F70F29"/>
    <w:p w14:paraId="68577494" w14:textId="77777777" w:rsidR="00F70F29" w:rsidRPr="00F70F29" w:rsidRDefault="00F70F29">
      <w:pPr>
        <w:rPr>
          <w:b/>
        </w:rPr>
      </w:pPr>
      <w:r w:rsidRPr="00F70F29">
        <w:rPr>
          <w:b/>
        </w:rPr>
        <w:t>3. Usage and Word Pictures</w:t>
      </w:r>
    </w:p>
    <w:p w14:paraId="366BC5FF" w14:textId="77777777" w:rsidR="00F70F29" w:rsidRDefault="00F70F29">
      <w:r>
        <w:t>- The word appears only once in the entire Hebrew Bible, making it a hapax legomenon.</w:t>
      </w:r>
    </w:p>
    <w:p w14:paraId="3AB3E0C6" w14:textId="77777777" w:rsidR="00F70F29" w:rsidRDefault="00F70F29">
      <w:r>
        <w:t xml:space="preserve">- Exodus 21:6 portrays a servant who loves his master, his wife, and his children, and therefore refuses to go free at the year of release. </w:t>
      </w:r>
    </w:p>
    <w:p w14:paraId="1C0BC621" w14:textId="77777777" w:rsidR="00F70F29" w:rsidRDefault="00F70F29">
      <w:r>
        <w:t>- The master brings him to the judges, takes him to the door or doorpost, and pierces his ear with the awl, permanently marking him as a servant bound by love rather than mere legal obligation.</w:t>
      </w:r>
    </w:p>
    <w:p w14:paraId="042F1755" w14:textId="77777777" w:rsidR="00F70F29" w:rsidRDefault="00F70F29">
      <w:r>
        <w:t>- The doorpost serves as the threshold of the home, signifying that the servant is permanently integrated into the household and family security.</w:t>
      </w:r>
    </w:p>
    <w:p w14:paraId="6DF24A7D" w14:textId="77777777" w:rsidR="00F70F29" w:rsidRDefault="00F70F29"/>
    <w:p w14:paraId="14B028C5" w14:textId="77777777" w:rsidR="00F70F29" w:rsidRPr="00F70F29" w:rsidRDefault="00F70F29">
      <w:pPr>
        <w:rPr>
          <w:b/>
        </w:rPr>
      </w:pPr>
      <w:r w:rsidRPr="00F70F29">
        <w:rPr>
          <w:b/>
        </w:rPr>
        <w:t>4. Theological Implications</w:t>
      </w:r>
    </w:p>
    <w:p w14:paraId="28508173" w14:textId="77777777" w:rsidR="00F70F29" w:rsidRDefault="00F70F29">
      <w:r>
        <w:t>- Voluntary servitude driven by love prefigures the ultimate posture of the believer toward God and the supreme example of Christ.</w:t>
      </w:r>
    </w:p>
    <w:p w14:paraId="38691AE0" w14:textId="77777777" w:rsidR="00F70F29" w:rsidRDefault="00F70F29">
      <w:r>
        <w:t>- In Psalm 40:6, the opened or "digged" ear (often translated as a body prepared or ears opened to hear) reflects a heart completely attentive and submissive to the will of God.</w:t>
      </w:r>
    </w:p>
    <w:p w14:paraId="2501B5E2" w14:textId="77777777" w:rsidR="00F70F29" w:rsidRDefault="00F70F29">
      <w:r>
        <w:t>- True devotion in the biblical narrative is never merely mechanical compliance; it is a wholehearted, permanent choice to remain under the care and authority of the Master.</w:t>
      </w:r>
    </w:p>
    <w:p w14:paraId="4212B7D9" w14:textId="77777777" w:rsidR="00F70F29" w:rsidRDefault="00F70F29"/>
    <w:p w14:paraId="73901410" w14:textId="77777777" w:rsidR="00F70F29" w:rsidRPr="00F70F29" w:rsidRDefault="00F70F29">
      <w:pPr>
        <w:rPr>
          <w:b/>
        </w:rPr>
      </w:pPr>
      <w:r w:rsidRPr="00F70F29">
        <w:rPr>
          <w:b/>
        </w:rPr>
        <w:t>5. Contextual Nuance in the Passage</w:t>
      </w:r>
    </w:p>
    <w:p w14:paraId="2E934DA7" w14:textId="77777777" w:rsidR="00F70F29" w:rsidRDefault="00F70F29">
      <w:r>
        <w:t>- In Exodus 21:6, the awl is not an instrument of punishment, coercion, or cruel bondage.</w:t>
      </w:r>
    </w:p>
    <w:p w14:paraId="58D76219" w14:textId="77777777" w:rsidR="00F70F29" w:rsidRDefault="00F70F29">
      <w:r>
        <w:t>- It is the literal instrument of grace-empowered choice, sealing a bond of loyalty that transcends the legally mandated limits of servitude.</w:t>
      </w:r>
    </w:p>
    <w:p w14:paraId="374DB4F4" w14:textId="77777777" w:rsidR="00F70F29" w:rsidRDefault="00F70F29">
      <w:r>
        <w:t>- The physical piercing of the earlobe marks the threshold where freedom is willingly surrendered for the sake of enduring relationship.</w:t>
      </w:r>
    </w:p>
    <w:p w14:paraId="6422FF7B" w14:textId="77777777" w:rsidR="00F70F29" w:rsidRDefault="00F70F29"/>
    <w:p w14:paraId="51C5BB86" w14:textId="77777777" w:rsidR="00F70F29" w:rsidRPr="00F70F29" w:rsidRDefault="00F70F29">
      <w:pPr>
        <w:rPr>
          <w:b/>
        </w:rPr>
      </w:pPr>
      <w:r w:rsidRPr="00F70F29">
        <w:rPr>
          <w:b/>
        </w:rPr>
        <w:t>6. Key Uses in Other Verses (NKJV)</w:t>
      </w:r>
    </w:p>
    <w:p w14:paraId="70367123" w14:textId="77777777" w:rsidR="00F70F29" w:rsidRDefault="00F70F29">
      <w:r>
        <w:t>- Exodus 21:6 - "Then his master shall bring him to the judges, and he shall bring him to the door, or to the doorpost, and his master shall pierce his ear with an awl; and he shall serve him forever." (Note: This is the sole occurrence of Strong's H4836 in the Hebrew Bible).</w:t>
      </w:r>
    </w:p>
    <w:p w14:paraId="4024F438" w14:textId="77777777" w:rsidR="00F70F29" w:rsidRDefault="00F70F29"/>
    <w:p w14:paraId="4C20DFFC" w14:textId="77777777" w:rsidR="00F70F29" w:rsidRPr="00F70F29" w:rsidRDefault="00F70F29">
      <w:pPr>
        <w:rPr>
          <w:b/>
        </w:rPr>
      </w:pPr>
      <w:r w:rsidRPr="00F70F29">
        <w:rPr>
          <w:b/>
        </w:rPr>
        <w:t>7. Other Relevant Insights</w:t>
      </w:r>
    </w:p>
    <w:p w14:paraId="7A0AF102" w14:textId="77777777" w:rsidR="00F70F29" w:rsidRDefault="00F70F29">
      <w:r>
        <w:t>- The custom of piercing a servant's ear against a doorpost also connected the servant symbolically to the permanent security and boundary of the master's house.</w:t>
      </w:r>
    </w:p>
    <w:p w14:paraId="218C687E" w14:textId="77777777" w:rsidR="00F70F29" w:rsidRDefault="00F70F29">
      <w:r>
        <w:t>- The New Testament deepens this concept, as believers are called bondservants (doulos) of Christ, whose obedience flows from the transformative experience of redemption and love.</w:t>
      </w:r>
    </w:p>
    <w:p w14:paraId="3E7C68DF" w14:textId="77777777" w:rsidR="00F70F29" w:rsidRDefault="00F70F29"/>
    <w:p w14:paraId="567BFC0B" w14:textId="77777777" w:rsidR="00F70F29" w:rsidRPr="00F70F29" w:rsidRDefault="00F70F29">
      <w:pPr>
        <w:rPr>
          <w:b/>
        </w:rPr>
      </w:pPr>
      <w:r w:rsidRPr="00F70F29">
        <w:rPr>
          <w:b/>
        </w:rPr>
        <w:t>8. References</w:t>
      </w:r>
    </w:p>
    <w:p w14:paraId="0BE094B6" w14:textId="77777777" w:rsidR="00F70F29" w:rsidRDefault="00F70F29">
      <w:r>
        <w:t>- HALOT</w:t>
      </w:r>
    </w:p>
    <w:p w14:paraId="71ECDC45" w14:textId="77777777" w:rsidR="00F70F29" w:rsidRDefault="00F70F29">
      <w:r>
        <w:t>- BDB</w:t>
      </w:r>
    </w:p>
    <w:p w14:paraId="5E50C647" w14:textId="77777777" w:rsidR="00F70F29" w:rsidRDefault="00F70F29">
      <w:r>
        <w:t>- TWOT</w:t>
      </w:r>
    </w:p>
    <w:p w14:paraId="5BF133B3" w14:textId="77777777" w:rsidR="00F70F29" w:rsidRDefault="00F70F29">
      <w:r>
        <w:t>- NIDOTTE</w:t>
      </w:r>
    </w:p>
    <w:p w14:paraId="2D7DADEF" w14:textId="77777777" w:rsidR="00F70F29" w:rsidRDefault="00F70F29">
      <w:r>
        <w:t>- Matthew Henry Commentary</w:t>
      </w:r>
    </w:p>
    <w:p w14:paraId="5491FAAC" w14:textId="4986652B" w:rsidR="004C5552" w:rsidRDefault="00F70F29">
      <w:r>
        <w:t>- 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70F2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B9B1"/>
  <w15:chartTrackingRefBased/>
  <w15:docId w15:val="{865F9296-8D11-423D-87E6-E3486540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0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0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F29"/>
    <w:rPr>
      <w:rFonts w:eastAsiaTheme="majorEastAsia" w:cstheme="majorBidi"/>
      <w:color w:val="272727" w:themeColor="text1" w:themeTint="D8"/>
    </w:rPr>
  </w:style>
  <w:style w:type="paragraph" w:styleId="Title">
    <w:name w:val="Title"/>
    <w:basedOn w:val="Normal"/>
    <w:next w:val="Normal"/>
    <w:link w:val="TitleChar"/>
    <w:uiPriority w:val="10"/>
    <w:qFormat/>
    <w:rsid w:val="00F70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F29"/>
    <w:pPr>
      <w:spacing w:before="160"/>
      <w:jc w:val="center"/>
    </w:pPr>
    <w:rPr>
      <w:i/>
      <w:iCs/>
      <w:color w:val="404040" w:themeColor="text1" w:themeTint="BF"/>
    </w:rPr>
  </w:style>
  <w:style w:type="character" w:customStyle="1" w:styleId="QuoteChar">
    <w:name w:val="Quote Char"/>
    <w:basedOn w:val="DefaultParagraphFont"/>
    <w:link w:val="Quote"/>
    <w:uiPriority w:val="29"/>
    <w:rsid w:val="00F70F29"/>
    <w:rPr>
      <w:i/>
      <w:iCs/>
      <w:color w:val="404040" w:themeColor="text1" w:themeTint="BF"/>
    </w:rPr>
  </w:style>
  <w:style w:type="paragraph" w:styleId="ListParagraph">
    <w:name w:val="List Paragraph"/>
    <w:basedOn w:val="Normal"/>
    <w:uiPriority w:val="34"/>
    <w:qFormat/>
    <w:rsid w:val="00F70F29"/>
    <w:pPr>
      <w:ind w:left="720"/>
      <w:contextualSpacing/>
    </w:pPr>
  </w:style>
  <w:style w:type="character" w:styleId="IntenseEmphasis">
    <w:name w:val="Intense Emphasis"/>
    <w:basedOn w:val="DefaultParagraphFont"/>
    <w:uiPriority w:val="21"/>
    <w:qFormat/>
    <w:rsid w:val="00F70F29"/>
    <w:rPr>
      <w:i/>
      <w:iCs/>
      <w:color w:val="2E74B5" w:themeColor="accent1" w:themeShade="BF"/>
    </w:rPr>
  </w:style>
  <w:style w:type="paragraph" w:styleId="IntenseQuote">
    <w:name w:val="Intense Quote"/>
    <w:basedOn w:val="Normal"/>
    <w:next w:val="Normal"/>
    <w:link w:val="IntenseQuoteChar"/>
    <w:uiPriority w:val="30"/>
    <w:qFormat/>
    <w:rsid w:val="00F70F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0F29"/>
    <w:rPr>
      <w:i/>
      <w:iCs/>
      <w:color w:val="2E74B5" w:themeColor="accent1" w:themeShade="BF"/>
    </w:rPr>
  </w:style>
  <w:style w:type="character" w:styleId="IntenseReference">
    <w:name w:val="Intense Reference"/>
    <w:basedOn w:val="DefaultParagraphFont"/>
    <w:uiPriority w:val="32"/>
    <w:qFormat/>
    <w:rsid w:val="00F70F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