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426D" w14:textId="77777777" w:rsidR="00152345" w:rsidRPr="00152345" w:rsidRDefault="00152345">
      <w:pPr>
        <w:rPr>
          <w:b/>
        </w:rPr>
      </w:pPr>
      <w:r w:rsidRPr="00152345">
        <w:rPr>
          <w:b/>
        </w:rPr>
        <w:t>REFUSES - ( ma'en , Strong's H3985 )</w:t>
      </w:r>
    </w:p>
    <w:p w14:paraId="7A4E7C4F" w14:textId="77777777" w:rsidR="00152345" w:rsidRDefault="00152345">
      <w:r w:rsidRPr="00152345">
        <w:rPr>
          <w:b/>
        </w:rPr>
        <w:t>Summary:</w:t>
      </w:r>
    </w:p>
    <w:p w14:paraId="58226556" w14:textId="77777777" w:rsidR="00152345" w:rsidRDefault="00152345">
      <w:r>
        <w:t>The Hebrew verb ma'en means "to refuse" or "to decline." In Exodus 22:17, it appears in an intensive grammatical construction—the infinitive absolute combined with the finite verb—translated "utterly refuses." This emphatic phrasing highlights the absolute, legally binding authority of a father over his daughter's marriage in ancient Israelite society, even under the circumstances of seduction. The term denotes a deliberate, strong exercise of the will, emphasizing a firm and decisive rejection rather than passive hesitation.</w:t>
      </w:r>
    </w:p>
    <w:p w14:paraId="3A6E31C1" w14:textId="77777777" w:rsidR="00152345" w:rsidRDefault="00152345"/>
    <w:p w14:paraId="76EB8532" w14:textId="77777777" w:rsidR="00152345" w:rsidRDefault="00152345">
      <w:r w:rsidRPr="00152345">
        <w:rPr>
          <w:b/>
        </w:rPr>
        <w:t>Full Study:</w:t>
      </w:r>
    </w:p>
    <w:p w14:paraId="77D2F584" w14:textId="77777777" w:rsidR="00152345" w:rsidRDefault="00152345"/>
    <w:p w14:paraId="6FCA90E6" w14:textId="77777777" w:rsidR="00152345" w:rsidRPr="00152345" w:rsidRDefault="00152345">
      <w:pPr>
        <w:rPr>
          <w:b/>
        </w:rPr>
      </w:pPr>
      <w:r w:rsidRPr="00152345">
        <w:rPr>
          <w:b/>
        </w:rPr>
        <w:t>1. Word Picture / Background</w:t>
      </w:r>
    </w:p>
    <w:p w14:paraId="664B4CCB" w14:textId="77777777" w:rsidR="00152345" w:rsidRDefault="00152345">
      <w:r>
        <w:t>The root ma'en carries the concept of an intentional, willful rejection of a proposal, command, or request. It is not a passive delay or an inability to act, but a deliberate decision of the mind and will. In the ancient Near Eastern world, family structures and legal agreements were highly formal. A father's refusal in matters of betrothal carried final, absolute authority. The historical background of the word depicts a person drawing an unyielding line, standing firm, and refusing to negotiate or yield territory.</w:t>
      </w:r>
    </w:p>
    <w:p w14:paraId="05EEBFA8" w14:textId="77777777" w:rsidR="00152345" w:rsidRDefault="00152345"/>
    <w:p w14:paraId="00C5447E" w14:textId="77777777" w:rsidR="00152345" w:rsidRPr="00152345" w:rsidRDefault="00152345">
      <w:pPr>
        <w:rPr>
          <w:b/>
        </w:rPr>
      </w:pPr>
      <w:r w:rsidRPr="00152345">
        <w:rPr>
          <w:b/>
        </w:rPr>
        <w:t>2. Meaning / Lexical Definition</w:t>
      </w:r>
    </w:p>
    <w:p w14:paraId="72384C14" w14:textId="77777777" w:rsidR="00152345" w:rsidRDefault="00152345">
      <w:r>
        <w:t>• Ma'en is a primary root verb meaning "to refuse," "to decline," or "to be unwilling." In the Hebrew Bible, it occurs almost exclusively in the Piel stem, which intensifies the action, denoting a strong and active refusal rather than a simple negative response. In Exodus 22:17, the verb is doubled through the combination of the infinitive absolute and the finite Piel verb (ma'en yema'en). This grammatical device intensifies the meaning to "utterly refuses" or "flatly and decisively declines," indicating a total, uncompromising veto.</w:t>
      </w:r>
    </w:p>
    <w:p w14:paraId="4175B3AF" w14:textId="77777777" w:rsidR="00152345" w:rsidRDefault="00152345"/>
    <w:p w14:paraId="1E99D032" w14:textId="77777777" w:rsidR="00152345" w:rsidRPr="00152345" w:rsidRDefault="00152345">
      <w:pPr>
        <w:rPr>
          <w:b/>
        </w:rPr>
      </w:pPr>
      <w:r w:rsidRPr="00152345">
        <w:rPr>
          <w:b/>
        </w:rPr>
        <w:t>3. Usage and Word Pictures</w:t>
      </w:r>
    </w:p>
    <w:p w14:paraId="308489F8" w14:textId="77777777" w:rsidR="00152345" w:rsidRDefault="00152345">
      <w:r>
        <w:t>The verb ma'en describes several types of decisive refusal in scripture:</w:t>
      </w:r>
    </w:p>
    <w:p w14:paraId="0D2856DC" w14:textId="77777777" w:rsidR="00152345" w:rsidRDefault="00152345">
      <w:r>
        <w:t>• Moral Refusal: Joseph refused the physical advances of Potiphar's wife, establishing a firm boundary of integrity (Genesis 39:8).</w:t>
      </w:r>
    </w:p>
    <w:p w14:paraId="4CECF341" w14:textId="77777777" w:rsidR="00152345" w:rsidRDefault="00152345">
      <w:r>
        <w:t>• Stubborn Refusal: Pharaoh repeatedly refused to release the Israelites from Egypt despite witnessing God's plagues, illustrating a hardened and defiant will (Exodus 7:14; 10:3).</w:t>
      </w:r>
    </w:p>
    <w:p w14:paraId="28B2B963" w14:textId="77777777" w:rsidR="00152345" w:rsidRDefault="00152345">
      <w:r>
        <w:t>• Legal Refusal: A brother-in-law formally refuses to perform his levirate marriage duty, opting instead to accept the public shame of having his sandal removed (Deuteronomy 25:7).</w:t>
      </w:r>
    </w:p>
    <w:p w14:paraId="7E50422D" w14:textId="77777777" w:rsidR="00152345" w:rsidRDefault="00152345">
      <w:r>
        <w:t>• Rebellious Refusal: Israel refused to listen to God's prophets or return to the covenant, showing a stiff-necked resistance to grace (Jeremiah 5:3; Hosea 11:5).</w:t>
      </w:r>
    </w:p>
    <w:p w14:paraId="0B90475A" w14:textId="77777777" w:rsidR="00152345" w:rsidRDefault="00152345"/>
    <w:p w14:paraId="69582DEC" w14:textId="77777777" w:rsidR="00152345" w:rsidRPr="00152345" w:rsidRDefault="00152345">
      <w:pPr>
        <w:rPr>
          <w:b/>
        </w:rPr>
      </w:pPr>
      <w:r w:rsidRPr="00152345">
        <w:rPr>
          <w:b/>
        </w:rPr>
        <w:t>4. Theological Implications</w:t>
      </w:r>
    </w:p>
    <w:p w14:paraId="50D45DD8" w14:textId="77777777" w:rsidR="00152345" w:rsidRDefault="00152345">
      <w:r>
        <w:t>Theologically, ma'en demonstrates the power of the human will in relation to moral choice, covenant keeping, and divine authority. When applied to God, as when He refuses to allow Balaam to go with Balak's princes (Numbers 22:13), it highlights His absolute sovereignty and unchanging decrees. When applied to humans, it underscores the gravity of obedience and rebellion. God holds His people accountable for what they refuse to do, showing that refusal is an active, moral choice rather than an accidental omission.</w:t>
      </w:r>
    </w:p>
    <w:p w14:paraId="53F9BCD6" w14:textId="77777777" w:rsidR="00152345" w:rsidRDefault="00152345"/>
    <w:p w14:paraId="37A1A787" w14:textId="77777777" w:rsidR="00152345" w:rsidRPr="00152345" w:rsidRDefault="00152345">
      <w:pPr>
        <w:rPr>
          <w:b/>
        </w:rPr>
      </w:pPr>
      <w:r w:rsidRPr="00152345">
        <w:rPr>
          <w:b/>
        </w:rPr>
        <w:t>5. Contextual Nuance in the Passage</w:t>
      </w:r>
    </w:p>
    <w:p w14:paraId="67545DA2" w14:textId="77777777" w:rsidR="00152345" w:rsidRDefault="00152345">
      <w:r>
        <w:t>In Exodus 22:16–17, the law governs the case of a man who seduces an unbetrothed virgin. Normally, the seducer must pay the bride-price and marry her. However, verse 17 introduces the father's unilateral right of refusal: "If her father utterly refuses to give her to him..." The intense phrasing (ma'en yema'en) guarantees that the father maintains absolute sovereignty over his household. Seduction does not strip the father of his protective authority, nor does it force the young woman into a marriage with an untrustworthy man. The father's utter refusal protects the daughter's future, while the seducer is still penalized by having to pay the full bride-price.</w:t>
      </w:r>
    </w:p>
    <w:p w14:paraId="4ADC13D9" w14:textId="77777777" w:rsidR="00152345" w:rsidRDefault="00152345"/>
    <w:p w14:paraId="236AB48A" w14:textId="77777777" w:rsidR="00152345" w:rsidRPr="00152345" w:rsidRDefault="00152345">
      <w:pPr>
        <w:rPr>
          <w:b/>
        </w:rPr>
      </w:pPr>
      <w:r w:rsidRPr="00152345">
        <w:rPr>
          <w:b/>
        </w:rPr>
        <w:t>6. Key Uses in Other Verses (NKJV)</w:t>
      </w:r>
    </w:p>
    <w:p w14:paraId="47EA2F6E" w14:textId="77777777" w:rsidR="00152345" w:rsidRDefault="00152345">
      <w:r>
        <w:t>• Genesis 37:35 – "And all his sons and all his daughters arose to comfort him; but he refused to be comforted..."</w:t>
      </w:r>
    </w:p>
    <w:p w14:paraId="3B933730" w14:textId="77777777" w:rsidR="00152345" w:rsidRDefault="00152345">
      <w:r>
        <w:t>• Genesis 39:8 – "But he refused and said to his master’s wife, 'Look, my master does not know what is with me in the house...'"</w:t>
      </w:r>
    </w:p>
    <w:p w14:paraId="5503F38F" w14:textId="77777777" w:rsidR="00152345" w:rsidRDefault="00152345">
      <w:r>
        <w:t>• Exodus 7:14 – "So the Lord said to Moses: 'Pharaoh’s heart is hard; he refuses to let the people go.'"</w:t>
      </w:r>
    </w:p>
    <w:p w14:paraId="0819457C" w14:textId="77777777" w:rsidR="00152345" w:rsidRDefault="00152345">
      <w:r>
        <w:t>• Numbers 22:13 – "So Balaam rose in the morning and said to the princes of Balak, 'Go back to your land, for the Lord has refused to give me permission to go with you.'"</w:t>
      </w:r>
    </w:p>
    <w:p w14:paraId="11D09687" w14:textId="77777777" w:rsidR="00152345" w:rsidRDefault="00152345">
      <w:r>
        <w:t>• Jeremiah 5:3 – "They have made their faces harder than rock; they have refused to return."</w:t>
      </w:r>
    </w:p>
    <w:p w14:paraId="408FC93C" w14:textId="77777777" w:rsidR="00152345" w:rsidRDefault="00152345"/>
    <w:p w14:paraId="01A6AF9A" w14:textId="77777777" w:rsidR="00152345" w:rsidRPr="00152345" w:rsidRDefault="00152345">
      <w:pPr>
        <w:rPr>
          <w:b/>
        </w:rPr>
      </w:pPr>
      <w:r w:rsidRPr="00152345">
        <w:rPr>
          <w:b/>
        </w:rPr>
        <w:t>7. Other Relevant Insights</w:t>
      </w:r>
    </w:p>
    <w:p w14:paraId="2B1B9D1F" w14:textId="77777777" w:rsidR="00152345" w:rsidRDefault="00152345">
      <w:r>
        <w:t>This law showcases the protective nature of biblical justice. In ancient societies, a compromised woman faced severe social and economic disadvantages. By granting the father the power to utterly refuse the marriage while still requiring the perpetrator to pay the bride-price, the law penalizes the offender without forcing the victim into a potentially abusive, lifelong union. It establishes a legal mechanism where patriarchal authority serves as a shield for the vulnerable rather than a tool for exploitation.</w:t>
      </w:r>
    </w:p>
    <w:p w14:paraId="66EBA9FA" w14:textId="77777777" w:rsidR="00152345" w:rsidRDefault="00152345"/>
    <w:p w14:paraId="5BEAE313" w14:textId="77777777" w:rsidR="00152345" w:rsidRPr="00152345" w:rsidRDefault="00152345">
      <w:pPr>
        <w:rPr>
          <w:b/>
        </w:rPr>
      </w:pPr>
      <w:r w:rsidRPr="00152345">
        <w:rPr>
          <w:b/>
        </w:rPr>
        <w:t>8. References</w:t>
      </w:r>
    </w:p>
    <w:p w14:paraId="384618EF" w14:textId="77777777" w:rsidR="00152345" w:rsidRDefault="00152345">
      <w:r>
        <w:t>• Brown, F., Driver, S. R., &amp; Briggs, C. A. Enhanced Brown-Driver-Briggs Hebrew and English Lexicon.</w:t>
      </w:r>
    </w:p>
    <w:p w14:paraId="7F8BE5C1" w14:textId="77777777" w:rsidR="00152345" w:rsidRDefault="00152345">
      <w:r>
        <w:t>• Koehler, L., Baumgartner, W., Richardson, M. E. J., &amp; Stamm, J. J. The Hebrew and Aramaic Lexicon of the Old Testament.</w:t>
      </w:r>
    </w:p>
    <w:p w14:paraId="7AE19722" w14:textId="77777777" w:rsidR="00152345" w:rsidRDefault="00152345">
      <w:r>
        <w:t>• Harris, R. L., Archer, G. L., &amp; Waltke, B. K. Theological Wordbook of the Old Testament.</w:t>
      </w:r>
    </w:p>
    <w:p w14:paraId="4DAC2544" w14:textId="77777777" w:rsidR="00152345" w:rsidRDefault="00152345">
      <w:r>
        <w:t>• Botterweck, G. J., Ringgren, H., &amp; Fabry, H.-J. Theological Dictionary of the Old Testament.</w:t>
      </w:r>
    </w:p>
    <w:p w14:paraId="494BDBF6" w14:textId="0C45775F" w:rsidR="004C5552" w:rsidRDefault="00152345">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45"/>
    <w:rsid w:val="00017747"/>
    <w:rsid w:val="00023A4A"/>
    <w:rsid w:val="0006763F"/>
    <w:rsid w:val="000C53AC"/>
    <w:rsid w:val="00146083"/>
    <w:rsid w:val="0015234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EB7D"/>
  <w15:chartTrackingRefBased/>
  <w15:docId w15:val="{D5615B8B-8C6C-4BE2-8476-0428D44E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345"/>
    <w:rPr>
      <w:rFonts w:eastAsiaTheme="majorEastAsia" w:cstheme="majorBidi"/>
      <w:color w:val="272727" w:themeColor="text1" w:themeTint="D8"/>
    </w:rPr>
  </w:style>
  <w:style w:type="paragraph" w:styleId="Title">
    <w:name w:val="Title"/>
    <w:basedOn w:val="Normal"/>
    <w:next w:val="Normal"/>
    <w:link w:val="TitleChar"/>
    <w:uiPriority w:val="10"/>
    <w:qFormat/>
    <w:rsid w:val="0015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345"/>
    <w:pPr>
      <w:spacing w:before="160"/>
      <w:jc w:val="center"/>
    </w:pPr>
    <w:rPr>
      <w:i/>
      <w:iCs/>
      <w:color w:val="404040" w:themeColor="text1" w:themeTint="BF"/>
    </w:rPr>
  </w:style>
  <w:style w:type="character" w:customStyle="1" w:styleId="QuoteChar">
    <w:name w:val="Quote Char"/>
    <w:basedOn w:val="DefaultParagraphFont"/>
    <w:link w:val="Quote"/>
    <w:uiPriority w:val="29"/>
    <w:rsid w:val="00152345"/>
    <w:rPr>
      <w:i/>
      <w:iCs/>
      <w:color w:val="404040" w:themeColor="text1" w:themeTint="BF"/>
    </w:rPr>
  </w:style>
  <w:style w:type="paragraph" w:styleId="ListParagraph">
    <w:name w:val="List Paragraph"/>
    <w:basedOn w:val="Normal"/>
    <w:uiPriority w:val="34"/>
    <w:qFormat/>
    <w:rsid w:val="00152345"/>
    <w:pPr>
      <w:ind w:left="720"/>
      <w:contextualSpacing/>
    </w:pPr>
  </w:style>
  <w:style w:type="character" w:styleId="IntenseEmphasis">
    <w:name w:val="Intense Emphasis"/>
    <w:basedOn w:val="DefaultParagraphFont"/>
    <w:uiPriority w:val="21"/>
    <w:qFormat/>
    <w:rsid w:val="00152345"/>
    <w:rPr>
      <w:i/>
      <w:iCs/>
      <w:color w:val="2E74B5" w:themeColor="accent1" w:themeShade="BF"/>
    </w:rPr>
  </w:style>
  <w:style w:type="paragraph" w:styleId="IntenseQuote">
    <w:name w:val="Intense Quote"/>
    <w:basedOn w:val="Normal"/>
    <w:next w:val="Normal"/>
    <w:link w:val="IntenseQuoteChar"/>
    <w:uiPriority w:val="30"/>
    <w:qFormat/>
    <w:rsid w:val="001523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345"/>
    <w:rPr>
      <w:i/>
      <w:iCs/>
      <w:color w:val="2E74B5" w:themeColor="accent1" w:themeShade="BF"/>
    </w:rPr>
  </w:style>
  <w:style w:type="character" w:styleId="IntenseReference">
    <w:name w:val="Intense Reference"/>
    <w:basedOn w:val="DefaultParagraphFont"/>
    <w:uiPriority w:val="32"/>
    <w:qFormat/>
    <w:rsid w:val="001523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